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560" w:lineRule="exact"/>
        <w:ind w:firstLine="0" w:firstLineChars="0"/>
        <w:jc w:val="center"/>
        <w:rPr>
          <w:rFonts w:hint="eastAsia" w:ascii="仿宋" w:hAnsi="仿宋"/>
          <w:b/>
          <w:sz w:val="40"/>
          <w:szCs w:val="40"/>
          <w:lang w:val="en-US" w:eastAsia="zh-CN"/>
        </w:rPr>
      </w:pPr>
      <w:bookmarkStart w:id="0" w:name="_Toc1029"/>
      <w:bookmarkStart w:id="1" w:name="_Toc3124"/>
      <w:bookmarkStart w:id="2" w:name="_Toc23404"/>
      <w:bookmarkStart w:id="3" w:name="_Toc49947152"/>
      <w:bookmarkStart w:id="4" w:name="_Toc25656"/>
      <w:bookmarkStart w:id="5" w:name="_Toc49947238"/>
      <w:bookmarkStart w:id="6" w:name="_Toc4817"/>
      <w:bookmarkStart w:id="7" w:name="_Toc129257190"/>
      <w:bookmarkStart w:id="8" w:name="_Toc4150"/>
      <w:bookmarkStart w:id="9" w:name="_Toc10257"/>
      <w:bookmarkStart w:id="10" w:name="_Toc2125"/>
      <w:r>
        <w:rPr>
          <w:rFonts w:hint="eastAsia" w:ascii="仿宋" w:hAnsi="仿宋"/>
          <w:b/>
          <w:sz w:val="40"/>
          <w:szCs w:val="40"/>
          <w:lang w:val="en-US" w:eastAsia="zh-CN"/>
        </w:rPr>
        <w:t>自贡新能源公交车更新提升工程</w:t>
      </w:r>
    </w:p>
    <w:p>
      <w:pPr>
        <w:spacing w:line="560" w:lineRule="exact"/>
        <w:ind w:firstLine="0" w:firstLineChars="0"/>
        <w:jc w:val="center"/>
        <w:rPr>
          <w:rFonts w:hint="eastAsia" w:ascii="仿宋" w:hAnsi="仿宋"/>
          <w:b/>
          <w:sz w:val="40"/>
          <w:szCs w:val="40"/>
        </w:rPr>
      </w:pPr>
      <w:r>
        <w:rPr>
          <w:rFonts w:hint="eastAsia" w:ascii="仿宋" w:hAnsi="仿宋"/>
          <w:b/>
          <w:sz w:val="40"/>
          <w:szCs w:val="40"/>
        </w:rPr>
        <w:t>地方政府专项债券项目情况</w:t>
      </w:r>
    </w:p>
    <w:p>
      <w:pPr>
        <w:spacing w:line="560" w:lineRule="exact"/>
        <w:ind w:firstLine="0" w:firstLineChars="0"/>
        <w:jc w:val="center"/>
        <w:rPr>
          <w:rFonts w:hint="eastAsia" w:ascii="仿宋" w:hAnsi="仿宋"/>
          <w:b/>
          <w:sz w:val="40"/>
          <w:szCs w:val="40"/>
        </w:rPr>
      </w:pPr>
    </w:p>
    <w:p>
      <w:pPr>
        <w:pStyle w:val="3"/>
        <w:spacing w:before="156" w:after="156"/>
        <w:ind w:firstLine="643"/>
      </w:pPr>
      <w:r>
        <w:rPr>
          <w:rFonts w:hint="eastAsia"/>
        </w:rPr>
        <w:t>一、项目基本概况</w:t>
      </w:r>
      <w:bookmarkEnd w:id="0"/>
      <w:bookmarkEnd w:id="1"/>
      <w:bookmarkEnd w:id="2"/>
      <w:bookmarkEnd w:id="3"/>
      <w:bookmarkEnd w:id="4"/>
      <w:bookmarkEnd w:id="5"/>
      <w:bookmarkEnd w:id="6"/>
      <w:bookmarkEnd w:id="7"/>
      <w:bookmarkEnd w:id="8"/>
      <w:bookmarkEnd w:id="9"/>
      <w:bookmarkEnd w:id="10"/>
    </w:p>
    <w:p>
      <w:pPr>
        <w:pStyle w:val="4"/>
        <w:spacing w:before="156" w:after="156"/>
        <w:ind w:firstLine="643"/>
        <w:rPr>
          <w:rFonts w:hint="eastAsia"/>
        </w:rPr>
      </w:pPr>
      <w:bookmarkStart w:id="11" w:name="_Toc49947153"/>
      <w:bookmarkStart w:id="12" w:name="_Toc49947239"/>
      <w:bookmarkStart w:id="13" w:name="_Toc129257191"/>
      <w:r>
        <w:rPr>
          <w:rFonts w:hint="eastAsia"/>
        </w:rPr>
        <w:t>（一）</w:t>
      </w:r>
      <w:bookmarkEnd w:id="11"/>
      <w:bookmarkEnd w:id="12"/>
      <w:r>
        <w:rPr>
          <w:rFonts w:hint="eastAsia"/>
        </w:rPr>
        <w:t>社会发展和国民经济概况</w:t>
      </w:r>
      <w:bookmarkEnd w:id="13"/>
    </w:p>
    <w:p>
      <w:pPr>
        <w:bidi w:val="0"/>
        <w:rPr>
          <w:rFonts w:hint="eastAsia"/>
          <w:lang w:val="en-US" w:eastAsia="zh-CN"/>
        </w:rPr>
      </w:pPr>
      <w:r>
        <w:rPr>
          <w:rFonts w:hint="eastAsia"/>
          <w:lang w:val="en-US" w:eastAsia="zh-CN"/>
        </w:rPr>
        <w:t>自贡市，四川省辖地级市，中等城市，川南区域中心城市，成渝经济圈南部中心城市，[地处成渝地区双城经济圈建设南翼、川南城市群中心。位于四川盆地南部；东邻隆昌市、泸县，南界泸州市、宜宾市，西与犍为县、井研县毗邻，北靠仁寿县、威远县、内江市；地势西北部高、东南部低；属亚热带季风性湿润气候，冬暖、夏热、春早、秋短；全市总面积4381平方千米。截至2023年底，全市辖4个区、2个县，常住人口242.9万人。</w:t>
      </w:r>
    </w:p>
    <w:p>
      <w:pPr>
        <w:bidi w:val="0"/>
        <w:rPr>
          <w:rFonts w:hint="eastAsia"/>
          <w:lang w:val="en-US" w:eastAsia="zh-CN"/>
        </w:rPr>
      </w:pPr>
      <w:r>
        <w:rPr>
          <w:rFonts w:hint="eastAsia"/>
          <w:lang w:val="en-US" w:eastAsia="zh-CN"/>
        </w:rPr>
        <w:t>自贡市“因盐设市”，“自、贡”两个字是由“自流井”和“贡井”两个盐井名字合称而来；是中国重要的恐龙化石产地，被称为“恐龙之乡”，以拥有世界三大恐龙博物馆之一的自贡恐龙博物馆而闻名；食盐植根于巴蜀文化，结胎于川菜系列，伴随着盐业经济的繁荣与发展而形成的自贡盐帮菜，成为有别于成渝两地“上河帮”、“下河帮”菜系的川南“小河帮”代表，是全国老工业城市产业转型升级示范区、国家新型工业化节能环保装备制造示范基地，曾获评“中国盐帮菜之乡”；有四川轻化工大学、四川卫生康复职业学院和自贡职业技术学院三所高校。截至2023年4月，自贡有自贡恐龙博物馆、仙市古镇等A级旅游景区18个（其中，4A级景区7个）。2022年5月，被纳入巴蜀文化旅游走廊的规划范围。</w:t>
      </w:r>
    </w:p>
    <w:p>
      <w:pPr>
        <w:bidi w:val="0"/>
        <w:rPr>
          <w:rFonts w:hint="eastAsia"/>
          <w:lang w:val="en-US" w:eastAsia="zh-CN"/>
        </w:rPr>
      </w:pPr>
      <w:r>
        <w:rPr>
          <w:rFonts w:hint="eastAsia"/>
          <w:lang w:val="en-US" w:eastAsia="zh-CN"/>
        </w:rPr>
        <w:t>自贡市统计局发布数据显示，根据地区生产总值统一核算结果，2024年自贡实现地区生产总值1876.24亿元，按可比价格计算，同比增长7.1%。</w:t>
      </w:r>
    </w:p>
    <w:p>
      <w:pPr>
        <w:pStyle w:val="4"/>
        <w:numPr>
          <w:ilvl w:val="0"/>
          <w:numId w:val="4"/>
        </w:numPr>
        <w:spacing w:before="156" w:after="156"/>
        <w:ind w:firstLine="643"/>
      </w:pPr>
      <w:bookmarkStart w:id="14" w:name="_Toc129257192"/>
      <w:bookmarkStart w:id="15" w:name="_Toc49947240"/>
      <w:bookmarkStart w:id="16" w:name="_Toc49947154"/>
      <w:r>
        <w:rPr>
          <w:rFonts w:hint="eastAsia"/>
        </w:rPr>
        <w:t>城市总规及区域控制性规划</w:t>
      </w:r>
      <w:bookmarkEnd w:id="14"/>
    </w:p>
    <w:p>
      <w:pPr>
        <w:bidi w:val="0"/>
        <w:rPr>
          <w:rFonts w:hint="eastAsia"/>
          <w:lang w:eastAsia="zh-CN"/>
        </w:rPr>
      </w:pPr>
      <w:r>
        <w:rPr>
          <w:rFonts w:hint="eastAsia"/>
        </w:rPr>
        <w:t>《自贡市城市总体规划（2011～2030年）》</w:t>
      </w:r>
    </w:p>
    <w:p>
      <w:pPr>
        <w:bidi w:val="0"/>
        <w:rPr>
          <w:rFonts w:hint="default"/>
          <w:lang w:val="en-US" w:eastAsia="zh-CN"/>
        </w:rPr>
      </w:pPr>
      <w:r>
        <w:rPr>
          <w:rFonts w:hint="eastAsia"/>
          <w:lang w:val="en-US" w:eastAsia="zh-CN"/>
        </w:rPr>
        <w:t>1.基本情况</w:t>
      </w:r>
    </w:p>
    <w:p>
      <w:pPr>
        <w:bidi w:val="0"/>
        <w:rPr>
          <w:rFonts w:hint="eastAsia"/>
          <w:lang w:eastAsia="zh-CN"/>
        </w:rPr>
      </w:pPr>
      <w:r>
        <w:rPr>
          <w:rFonts w:hint="eastAsia"/>
          <w:lang w:eastAsia="zh-CN"/>
        </w:rPr>
        <w:t>自贡市位于四川盆地南部，市境东邻隆昌、泸县，南连南溪、江安、宜宾，西接犍为、井研、北靠内江、威远、仁寿，是川南的腹心地带。自贡市区距成都 210公里，距重庆 206公里，距内江和宜宾分别为38公里和68公里，距乐山、泸州分别为127公里和68公里。截止 2017 年底，全市辖自流井区、贡井区、大安区、沿滩区、荣县和富顺县，幅员面积 4381平方公里，户籍人口为323.94万人，城镇化率50.92%，中心城区建设用地面积109.65平方公里。</w:t>
      </w:r>
    </w:p>
    <w:p>
      <w:pPr>
        <w:bidi w:val="0"/>
        <w:rPr>
          <w:rFonts w:hint="default"/>
          <w:lang w:val="en-US" w:eastAsia="zh-CN"/>
        </w:rPr>
      </w:pPr>
      <w:r>
        <w:rPr>
          <w:rFonts w:hint="eastAsia"/>
          <w:lang w:val="en-US" w:eastAsia="zh-CN"/>
        </w:rPr>
        <w:t>2.总体发展目标</w:t>
      </w:r>
    </w:p>
    <w:p>
      <w:pPr>
        <w:bidi w:val="0"/>
        <w:rPr>
          <w:rFonts w:hint="eastAsia"/>
          <w:lang w:eastAsia="zh-CN"/>
        </w:rPr>
      </w:pPr>
      <w:r>
        <w:rPr>
          <w:rFonts w:hint="eastAsia"/>
          <w:lang w:eastAsia="zh-CN"/>
        </w:rPr>
        <w:t>把自贡建设成为优势明显的产业自贡、优美怡人的生态自贡、特色鲜明的文化自贡、富有活力的创新自贡、繁荣和谐的幸福自贡，加速推动自贡建设区域性特色型中心城市，建设成为成渝经济区西南部的宜业之地、宜居之所、宜品之城。</w:t>
      </w:r>
    </w:p>
    <w:p>
      <w:pPr>
        <w:bidi w:val="0"/>
        <w:rPr>
          <w:rFonts w:hint="default"/>
          <w:lang w:val="en-US" w:eastAsia="zh-CN"/>
        </w:rPr>
      </w:pPr>
      <w:r>
        <w:rPr>
          <w:rFonts w:hint="eastAsia"/>
          <w:lang w:val="en-US" w:eastAsia="zh-CN"/>
        </w:rPr>
        <w:t>3.城市性质</w:t>
      </w:r>
    </w:p>
    <w:p>
      <w:pPr>
        <w:bidi w:val="0"/>
        <w:rPr>
          <w:rFonts w:hint="eastAsia"/>
          <w:lang w:eastAsia="zh-CN"/>
        </w:rPr>
      </w:pPr>
      <w:r>
        <w:rPr>
          <w:rFonts w:hint="eastAsia"/>
          <w:lang w:eastAsia="zh-CN"/>
        </w:rPr>
        <w:t>国家级历史文化名城、以“盐、龙、灯”为特色的文化旅游城市、以科技创新为驱动的现代工业城市和区域中心城市。</w:t>
      </w:r>
    </w:p>
    <w:p>
      <w:pPr>
        <w:bidi w:val="0"/>
        <w:rPr>
          <w:rFonts w:hint="default"/>
          <w:lang w:val="en-US" w:eastAsia="zh-CN"/>
        </w:rPr>
      </w:pPr>
      <w:r>
        <w:rPr>
          <w:rFonts w:hint="eastAsia"/>
          <w:lang w:val="en-US" w:eastAsia="zh-CN"/>
        </w:rPr>
        <w:t>4.市域城镇空间结构</w:t>
      </w:r>
    </w:p>
    <w:p>
      <w:pPr>
        <w:bidi w:val="0"/>
        <w:rPr>
          <w:rFonts w:hint="eastAsia"/>
          <w:lang w:eastAsia="zh-CN"/>
        </w:rPr>
      </w:pPr>
      <w:r>
        <w:rPr>
          <w:rFonts w:hint="eastAsia"/>
          <w:lang w:eastAsia="zh-CN"/>
        </w:rPr>
        <w:t>规划构建“一主、两副、十字轴"的市域城镇空间结构:“一主”为产城一体化的中心城区;“两副”为荣县县城和富顺县城两个中心;“十字轴”为东西城镇发展轴和南北城镇发展轴。</w:t>
      </w:r>
    </w:p>
    <w:p>
      <w:pPr>
        <w:bidi w:val="0"/>
        <w:rPr>
          <w:rFonts w:hint="eastAsia"/>
          <w:lang w:eastAsia="zh-CN"/>
        </w:rPr>
      </w:pPr>
      <w:r>
        <w:rPr>
          <w:rFonts w:hint="eastAsia"/>
          <w:lang w:val="en-US" w:eastAsia="zh-CN"/>
        </w:rPr>
        <w:t>5.</w:t>
      </w:r>
      <w:r>
        <w:rPr>
          <w:rFonts w:hint="eastAsia"/>
          <w:lang w:eastAsia="zh-CN"/>
        </w:rPr>
        <w:t>市域城镇等级结构</w:t>
      </w:r>
    </w:p>
    <w:p>
      <w:pPr>
        <w:bidi w:val="0"/>
        <w:rPr>
          <w:rFonts w:hint="eastAsia"/>
          <w:lang w:eastAsia="zh-CN"/>
        </w:rPr>
      </w:pPr>
      <w:r>
        <w:rPr>
          <w:rFonts w:hint="eastAsia"/>
          <w:lang w:eastAsia="zh-CN"/>
        </w:rPr>
        <w:t>对现有城镇体系进行适度整合，形成布局合理、梯次分明的“1-2-9-23"的城镇等级结构，</w:t>
      </w:r>
    </w:p>
    <w:p>
      <w:pPr>
        <w:bidi w:val="0"/>
        <w:rPr>
          <w:rFonts w:hint="eastAsia"/>
          <w:lang w:eastAsia="zh-CN"/>
        </w:rPr>
      </w:pPr>
      <w:r>
        <w:rPr>
          <w:rFonts w:hint="eastAsia"/>
          <w:lang w:eastAsia="zh-CN"/>
        </w:rPr>
        <w:t>1</w:t>
      </w:r>
      <w:r>
        <w:rPr>
          <w:rFonts w:hint="eastAsia"/>
          <w:lang w:val="en-US" w:eastAsia="zh-CN"/>
        </w:rPr>
        <w:t>--</w:t>
      </w:r>
      <w:r>
        <w:rPr>
          <w:rFonts w:hint="eastAsia"/>
          <w:lang w:eastAsia="zh-CN"/>
        </w:rPr>
        <w:t>自贡中心城区(一级城镇)；</w:t>
      </w:r>
    </w:p>
    <w:p>
      <w:pPr>
        <w:bidi w:val="0"/>
        <w:rPr>
          <w:rFonts w:hint="eastAsia"/>
          <w:lang w:eastAsia="zh-CN"/>
        </w:rPr>
      </w:pPr>
      <w:r>
        <w:rPr>
          <w:rFonts w:hint="eastAsia"/>
          <w:lang w:eastAsia="zh-CN"/>
        </w:rPr>
        <w:t>2--荣县城区和富顺城区(二级城镇)；</w:t>
      </w:r>
    </w:p>
    <w:p>
      <w:pPr>
        <w:bidi w:val="0"/>
        <w:rPr>
          <w:rFonts w:hint="eastAsia"/>
          <w:lang w:eastAsia="zh-CN"/>
        </w:rPr>
      </w:pPr>
      <w:r>
        <w:rPr>
          <w:rFonts w:hint="eastAsia"/>
          <w:lang w:eastAsia="zh-CN"/>
        </w:rPr>
        <w:t>9--双石镇、新桥镇、五宝镇、板桥镇、代寺镇、牛佛镇、赵化镇、长山镇、邓关镇9个中心镇(三级城镇)；</w:t>
      </w:r>
    </w:p>
    <w:p>
      <w:pPr>
        <w:bidi w:val="0"/>
        <w:rPr>
          <w:rFonts w:hint="eastAsia"/>
          <w:lang w:eastAsia="zh-CN"/>
        </w:rPr>
      </w:pPr>
      <w:r>
        <w:rPr>
          <w:rFonts w:hint="eastAsia"/>
          <w:lang w:eastAsia="zh-CN"/>
        </w:rPr>
        <w:t>23--23个一般建制镇(四级城镇)。</w:t>
      </w:r>
    </w:p>
    <w:p>
      <w:pPr>
        <w:bidi w:val="0"/>
        <w:rPr>
          <w:rFonts w:hint="eastAsia"/>
          <w:lang w:eastAsia="zh-CN"/>
        </w:rPr>
      </w:pPr>
      <w:r>
        <w:rPr>
          <w:rFonts w:hint="eastAsia"/>
          <w:lang w:val="en-US" w:eastAsia="zh-CN"/>
        </w:rPr>
        <w:t>6.</w:t>
      </w:r>
      <w:r>
        <w:rPr>
          <w:rFonts w:hint="eastAsia"/>
          <w:lang w:eastAsia="zh-CN"/>
        </w:rPr>
        <w:t>市域综合交通系统</w:t>
      </w:r>
    </w:p>
    <w:p>
      <w:pPr>
        <w:bidi w:val="0"/>
        <w:rPr>
          <w:rFonts w:hint="eastAsia"/>
          <w:lang w:eastAsia="zh-CN"/>
        </w:rPr>
      </w:pPr>
      <w:r>
        <w:rPr>
          <w:rFonts w:hint="eastAsia"/>
          <w:lang w:eastAsia="zh-CN"/>
        </w:rPr>
        <w:t>构建市域半小时、川南1小时、成渝2小时快速通道，建成连接川南、融入成渝、贯通华中</w:t>
      </w:r>
      <w:r>
        <w:rPr>
          <w:rFonts w:hint="eastAsia"/>
          <w:lang w:val="en-US" w:eastAsia="zh-CN"/>
        </w:rPr>
        <w:t>-</w:t>
      </w:r>
      <w:r>
        <w:rPr>
          <w:rFonts w:hint="eastAsia"/>
          <w:lang w:eastAsia="zh-CN"/>
        </w:rPr>
        <w:t>西北</w:t>
      </w:r>
      <w:r>
        <w:rPr>
          <w:rFonts w:hint="eastAsia"/>
          <w:lang w:val="en-US" w:eastAsia="zh-CN"/>
        </w:rPr>
        <w:t>-</w:t>
      </w:r>
      <w:r>
        <w:rPr>
          <w:rFonts w:hint="eastAsia"/>
          <w:lang w:eastAsia="zh-CN"/>
        </w:rPr>
        <w:t>南贵昆经济区、连通中国</w:t>
      </w:r>
      <w:r>
        <w:rPr>
          <w:rFonts w:hint="eastAsia"/>
          <w:lang w:val="en-US" w:eastAsia="zh-CN"/>
        </w:rPr>
        <w:t>-</w:t>
      </w:r>
      <w:r>
        <w:rPr>
          <w:rFonts w:hint="eastAsia"/>
          <w:lang w:eastAsia="zh-CN"/>
        </w:rPr>
        <w:t>东盟自由贸易区的中转站和成渝经济区中南部重要的次级综合交通枢纽城市。</w:t>
      </w:r>
    </w:p>
    <w:p>
      <w:pPr>
        <w:bidi w:val="0"/>
        <w:rPr>
          <w:rFonts w:hint="eastAsia"/>
          <w:lang w:eastAsia="zh-CN"/>
        </w:rPr>
      </w:pPr>
      <w:r>
        <w:rPr>
          <w:rFonts w:hint="eastAsia"/>
          <w:lang w:val="en-US" w:eastAsia="zh-CN"/>
        </w:rPr>
        <w:t>7.</w:t>
      </w:r>
      <w:r>
        <w:rPr>
          <w:rFonts w:hint="eastAsia"/>
          <w:lang w:eastAsia="zh-CN"/>
        </w:rPr>
        <w:t>中心城区规模</w:t>
      </w:r>
    </w:p>
    <w:p>
      <w:pPr>
        <w:bidi w:val="0"/>
        <w:rPr>
          <w:rFonts w:hint="eastAsia"/>
          <w:lang w:eastAsia="zh-CN"/>
        </w:rPr>
      </w:pPr>
      <w:r>
        <w:rPr>
          <w:rFonts w:hint="eastAsia"/>
          <w:lang w:eastAsia="zh-CN"/>
        </w:rPr>
        <w:t>规划到2020年，中心城区建设用地规模达到144平方公里，聚居人口达到120万;规划到2030年，中心城区建设用地规模达到248平方公里，聚居人口达到206万。</w:t>
      </w:r>
    </w:p>
    <w:p>
      <w:pPr>
        <w:bidi w:val="0"/>
        <w:rPr>
          <w:rFonts w:hint="eastAsia"/>
          <w:lang w:eastAsia="zh-CN"/>
        </w:rPr>
      </w:pPr>
      <w:r>
        <w:rPr>
          <w:rFonts w:hint="eastAsia"/>
          <w:lang w:val="en-US" w:eastAsia="zh-CN"/>
        </w:rPr>
        <w:t>8.</w:t>
      </w:r>
      <w:r>
        <w:rPr>
          <w:rFonts w:hint="eastAsia"/>
          <w:lang w:eastAsia="zh-CN"/>
        </w:rPr>
        <w:t>中心城区空间布局</w:t>
      </w:r>
    </w:p>
    <w:p>
      <w:pPr>
        <w:bidi w:val="0"/>
        <w:rPr>
          <w:rFonts w:hint="eastAsia"/>
          <w:lang w:eastAsia="zh-CN"/>
        </w:rPr>
      </w:pPr>
      <w:r>
        <w:rPr>
          <w:rFonts w:hint="eastAsia"/>
          <w:lang w:eastAsia="zh-CN"/>
        </w:rPr>
        <w:t>规划中心城区形成“一绿心、两片区、多组团"的空间布局结构。“一绿心"是指位于城市中心的生态绿核，建设自贡对外展示自身城市特色和形象的窗口，成为服务自身，以及服务区域，集商业、休闲、文化展示功能于一体的城市复合功能中心；“两片区"和“多组团"指通过城市生态绿楔和都市绿道划分所形成的城市功能片区和功能组团，分别指自流井-汇东片区、东部新城片区、贡井-舒坪组团、大山铺组团和沿滩组团。</w:t>
      </w:r>
    </w:p>
    <w:p>
      <w:pPr>
        <w:bidi w:val="0"/>
        <w:rPr>
          <w:rFonts w:hint="default"/>
          <w:lang w:val="en-US" w:eastAsia="zh-CN"/>
        </w:rPr>
      </w:pPr>
      <w:r>
        <w:rPr>
          <w:rFonts w:hint="eastAsia"/>
          <w:lang w:val="en-US" w:eastAsia="zh-CN"/>
        </w:rPr>
        <w:t>9.</w:t>
      </w:r>
      <w:r>
        <w:rPr>
          <w:rFonts w:hint="eastAsia"/>
          <w:lang w:eastAsia="zh-CN"/>
        </w:rPr>
        <w:t>中心城区</w:t>
      </w:r>
      <w:r>
        <w:rPr>
          <w:rFonts w:hint="eastAsia"/>
          <w:lang w:val="en-US" w:eastAsia="zh-CN"/>
        </w:rPr>
        <w:t>综合交通系统</w:t>
      </w:r>
    </w:p>
    <w:p>
      <w:pPr>
        <w:bidi w:val="0"/>
        <w:rPr>
          <w:rFonts w:hint="eastAsia"/>
          <w:lang w:eastAsia="zh-CN"/>
        </w:rPr>
      </w:pPr>
      <w:r>
        <w:rPr>
          <w:rFonts w:hint="eastAsia"/>
          <w:lang w:eastAsia="zh-CN"/>
        </w:rPr>
        <w:t>按照“控制为主"的原则，调整老城区的道路系统，突出南北、东西向二条城市快速路对过境交通的疏导作用，设计非机动车与人行专用线路;以“快速通畅"为目标，加快片区和组团之间的交通通道建设，形成城市快速路系统以实现快捷方便的目标。构建“三横、三纵'的城市快速路网络，其功能是快速疏解跨区间长距离大运量机动车流，既提高路网的总体容量和快速疏解能力，又减轻主次干道网的交通压力和交通污染的影响面。增加路网密度，缓解主干路交通压力。</w:t>
      </w:r>
    </w:p>
    <w:bookmarkEnd w:id="15"/>
    <w:bookmarkEnd w:id="16"/>
    <w:p>
      <w:pPr>
        <w:pStyle w:val="4"/>
        <w:numPr>
          <w:ilvl w:val="0"/>
          <w:numId w:val="4"/>
        </w:numPr>
        <w:spacing w:before="156" w:after="156"/>
        <w:ind w:left="0" w:leftChars="0" w:firstLine="562" w:firstLineChars="200"/>
        <w:rPr>
          <w:rFonts w:hint="eastAsia"/>
        </w:rPr>
      </w:pPr>
      <w:bookmarkStart w:id="17" w:name="_Toc129257193"/>
      <w:r>
        <w:rPr>
          <w:rFonts w:hint="eastAsia"/>
        </w:rPr>
        <w:t>项目提出的现实背景</w:t>
      </w:r>
      <w:bookmarkEnd w:id="17"/>
    </w:p>
    <w:p>
      <w:pPr>
        <w:bidi w:val="0"/>
        <w:rPr>
          <w:rFonts w:hint="eastAsia"/>
        </w:rPr>
      </w:pPr>
      <w:r>
        <w:rPr>
          <w:rFonts w:hint="eastAsia"/>
        </w:rPr>
        <w:t>国务院关于《中华人民共和国国民经济和社会发展第十四个五年规划和2035年远景目标纲要》中明确指出：坚决遏制高耗能、高排放项目盲目发展，推动绿色转型实现积极发展。壮大节能环保、清洁生产、清洁能源、生态环境、基础设施绿色升级、绿色服务等产业，推广合同能源管理、合同节水管理、环境污染第三方治理等服务模式。推动煤炭等化石能源清洁高效利用，推进钢铁、石化、建材等行业绿色化改造，加快大宗货物和中长途货物运输“公转铁”、“公转水”。推动城市公交和物流配送车辆电动化。</w:t>
      </w:r>
    </w:p>
    <w:p>
      <w:pPr>
        <w:bidi w:val="0"/>
        <w:rPr>
          <w:rFonts w:hint="eastAsia"/>
        </w:rPr>
      </w:pPr>
      <w:r>
        <w:rPr>
          <w:rFonts w:hint="eastAsia"/>
        </w:rPr>
        <w:t>国务院关于印发《推动大规模设备更新和消费品以旧换新行动方案》的通知中明确指出：支持交通运输设备和老旧农业机械更新。持续推进城市公交车电动化替代，支持老旧新能源公交车和动力电池更新换代。加快淘汰国三及以下排放标准营运类柴油货车。加强电动、氢能等绿色航空装备产业化能力建设。加快高耗能高排放老旧船舶报废更新，大力支持新能源动力船舶发展，完善新能源动力船舶配套基础设施和标准规范，逐步扩大电动、液化天然气动力、生物柴油动力、绿色甲醇动力等新能源船舶应用范围。</w:t>
      </w:r>
    </w:p>
    <w:p>
      <w:pPr>
        <w:bidi w:val="0"/>
        <w:rPr>
          <w:rFonts w:hint="eastAsia"/>
        </w:rPr>
      </w:pPr>
      <w:r>
        <w:rPr>
          <w:rFonts w:hint="eastAsia"/>
        </w:rPr>
        <w:t>《推动大规模设备更新和消费品以旧换新行动方案》国发〔2024〕7号）中提到：持续推进城市公交车电动化替代，支持老旧新能源公交车和动力电池更新换代。加快淘汰国三及以下排放标准营运类柴油货车。加强电动、氢能等绿色航空装备产业化能力建设。加快高耗能高排放老旧船舶报废更新，大力支持新能源动力船舶发展，完善新能源动力船舶配套基础设施和标准规范，逐步扩大电动、液化天然气动力、生物柴油动力、绿色甲醇动力等新能源船舶应用范围。</w:t>
      </w:r>
    </w:p>
    <w:p>
      <w:pPr>
        <w:bidi w:val="0"/>
        <w:rPr>
          <w:rFonts w:hint="eastAsia"/>
        </w:rPr>
      </w:pPr>
      <w:r>
        <w:rPr>
          <w:rFonts w:hint="eastAsia"/>
        </w:rPr>
        <w:t>为贯彻落实国家关于绿色低碳发展的总体部署，积极响应《中华人民共和国国民经济和社会发展第十四个五年规划和2035年远景目标纲要》以及《推动大规模设备更新和消费品以旧换新行动方案》等文件精神，推动交通装备绿色转型，提升城市公共出行体系清洁化水平，实施城市公交车辆电动化替代及老旧新能源公交车更新项目。通过本项目建设，将有助于加快淘汰高排放老旧车辆，改善城区空气质量，降低道路交通碳排放，推动公交服务系统节能降耗、提质增效，进一步提升绿色出行比例，助力构建绿色交通发展新格局。</w:t>
      </w:r>
    </w:p>
    <w:p>
      <w:pPr>
        <w:bidi w:val="0"/>
        <w:rPr>
          <w:rFonts w:hint="eastAsia"/>
        </w:rPr>
      </w:pPr>
      <w:r>
        <w:rPr>
          <w:rFonts w:hint="eastAsia"/>
        </w:rPr>
        <w:t>项目的实施不仅契合国家“设备更新”“绿色发展”“绿色消费”三大战略方向，同时也是推动</w:t>
      </w:r>
      <w:r>
        <w:rPr>
          <w:rFonts w:hint="eastAsia"/>
          <w:lang w:eastAsia="zh-CN"/>
        </w:rPr>
        <w:t>自贡市</w:t>
      </w:r>
      <w:r>
        <w:rPr>
          <w:rFonts w:hint="eastAsia"/>
        </w:rPr>
        <w:t>绿色低碳转型、提升城市公共服务水平的重要抓手。通过对新能源公交车辆及动力系统的更新，将有效提升车辆运行安全性与服务可靠性，推动公共交通体系可持续发展，为实现碳达峰、碳中和目标贡献力量。</w:t>
      </w:r>
    </w:p>
    <w:p>
      <w:pPr>
        <w:pStyle w:val="4"/>
        <w:numPr>
          <w:ilvl w:val="0"/>
          <w:numId w:val="4"/>
        </w:numPr>
        <w:spacing w:before="156" w:after="156"/>
        <w:ind w:left="0" w:leftChars="0" w:firstLine="562" w:firstLineChars="200"/>
        <w:rPr>
          <w:rFonts w:hint="eastAsia"/>
        </w:rPr>
      </w:pPr>
      <w:bookmarkStart w:id="18" w:name="_Toc4144"/>
      <w:bookmarkStart w:id="19" w:name="_Toc28324"/>
      <w:bookmarkStart w:id="20" w:name="_Toc22537"/>
      <w:bookmarkStart w:id="21" w:name="_Toc8640"/>
      <w:bookmarkStart w:id="22" w:name="_Toc9516"/>
      <w:bookmarkStart w:id="23" w:name="_Toc16581"/>
      <w:bookmarkStart w:id="24" w:name="_Toc16676"/>
      <w:bookmarkStart w:id="25" w:name="_Toc2583"/>
      <w:bookmarkStart w:id="26" w:name="_Toc49947156"/>
      <w:bookmarkStart w:id="27" w:name="_Toc129257194"/>
      <w:bookmarkStart w:id="28" w:name="_Toc49947242"/>
      <w:r>
        <w:rPr>
          <w:rFonts w:hint="eastAsia"/>
        </w:rPr>
        <w:t>项目</w:t>
      </w:r>
      <w:bookmarkEnd w:id="18"/>
      <w:bookmarkEnd w:id="19"/>
      <w:bookmarkEnd w:id="20"/>
      <w:bookmarkEnd w:id="21"/>
      <w:bookmarkEnd w:id="22"/>
      <w:bookmarkEnd w:id="23"/>
      <w:bookmarkEnd w:id="24"/>
      <w:bookmarkEnd w:id="25"/>
      <w:r>
        <w:rPr>
          <w:rFonts w:hint="eastAsia"/>
        </w:rPr>
        <w:t>概况</w:t>
      </w:r>
      <w:bookmarkEnd w:id="26"/>
      <w:bookmarkEnd w:id="27"/>
      <w:bookmarkEnd w:id="28"/>
    </w:p>
    <w:p>
      <w:pPr>
        <w:bidi w:val="0"/>
        <w:rPr>
          <w:rFonts w:hint="eastAsia"/>
          <w:lang w:val="en-US" w:eastAsia="zh-CN"/>
        </w:rPr>
      </w:pPr>
      <w:bookmarkStart w:id="29" w:name="_Toc11152"/>
      <w:bookmarkStart w:id="30" w:name="_Toc17280"/>
      <w:bookmarkStart w:id="31" w:name="_Toc388"/>
      <w:r>
        <w:rPr>
          <w:rFonts w:hint="eastAsia"/>
          <w:lang w:val="en-US" w:eastAsia="zh-CN"/>
        </w:rPr>
        <w:t>1.参与主体</w:t>
      </w:r>
      <w:bookmarkEnd w:id="29"/>
      <w:bookmarkEnd w:id="30"/>
      <w:bookmarkEnd w:id="31"/>
    </w:p>
    <w:p>
      <w:pPr>
        <w:bidi w:val="0"/>
        <w:rPr>
          <w:rFonts w:hint="eastAsia" w:cs="Times New Roman"/>
          <w:lang w:val="en-US" w:eastAsia="zh-CN"/>
        </w:rPr>
      </w:pPr>
      <w:r>
        <w:rPr>
          <w:rFonts w:hint="eastAsia" w:cs="Times New Roman"/>
          <w:lang w:val="en-US" w:eastAsia="zh-CN"/>
        </w:rPr>
        <w:t>主管部门：自贡市交通运输局</w:t>
      </w:r>
    </w:p>
    <w:p>
      <w:pPr>
        <w:bidi w:val="0"/>
        <w:rPr>
          <w:rFonts w:hint="eastAsia" w:cs="Times New Roman"/>
          <w:lang w:val="en-US" w:eastAsia="zh-CN"/>
        </w:rPr>
      </w:pPr>
      <w:r>
        <w:rPr>
          <w:rFonts w:hint="eastAsia" w:cs="Times New Roman"/>
          <w:lang w:val="en-US" w:eastAsia="zh-CN"/>
        </w:rPr>
        <w:t>项目业主：自贡市公交集团有限责任公司</w:t>
      </w:r>
    </w:p>
    <w:p>
      <w:pPr>
        <w:bidi w:val="0"/>
      </w:pPr>
      <w:r>
        <w:rPr>
          <w:rFonts w:hint="eastAsia"/>
          <w:lang w:val="en-US" w:eastAsia="zh-CN"/>
        </w:rPr>
        <w:t>2.</w:t>
      </w:r>
      <w:r>
        <w:rPr>
          <w:rFonts w:hint="eastAsia"/>
        </w:rPr>
        <w:t>项目概况</w:t>
      </w:r>
    </w:p>
    <w:p>
      <w:pPr>
        <w:bidi w:val="0"/>
        <w:rPr>
          <w:rFonts w:hint="eastAsia"/>
          <w:lang w:val="en-US" w:eastAsia="zh-CN"/>
        </w:rPr>
      </w:pPr>
      <w:r>
        <w:t>项目名称：</w:t>
      </w:r>
      <w:r>
        <w:rPr>
          <w:rFonts w:hint="eastAsia"/>
          <w:lang w:val="en-US" w:eastAsia="zh-CN"/>
        </w:rPr>
        <w:t>自贡新能源公交车更新提升工程</w:t>
      </w:r>
    </w:p>
    <w:p>
      <w:pPr>
        <w:bidi w:val="0"/>
        <w:rPr>
          <w:lang w:val="en-US"/>
        </w:rPr>
      </w:pPr>
      <w:r>
        <w:t>项目性质：</w:t>
      </w:r>
      <w:r>
        <w:rPr>
          <w:rFonts w:hint="eastAsia"/>
          <w:lang w:val="en-US"/>
        </w:rPr>
        <w:t>新建</w:t>
      </w:r>
    </w:p>
    <w:p>
      <w:pPr>
        <w:bidi w:val="0"/>
        <w:rPr>
          <w:rFonts w:hint="default"/>
          <w:lang w:val="en-US" w:eastAsia="zh-CN"/>
        </w:rPr>
      </w:pPr>
      <w:r>
        <w:rPr>
          <w:rFonts w:hint="eastAsia"/>
        </w:rPr>
        <w:t>项目所属领域：</w:t>
      </w:r>
      <w:r>
        <w:rPr>
          <w:rFonts w:hint="eastAsia"/>
          <w:lang w:val="en-US" w:eastAsia="zh-CN"/>
        </w:rPr>
        <w:t>生态环保—绿色低碳交通工具更新</w:t>
      </w:r>
    </w:p>
    <w:p>
      <w:pPr>
        <w:bidi w:val="0"/>
        <w:rPr>
          <w:rFonts w:hint="eastAsia"/>
          <w:lang w:val="en-US"/>
        </w:rPr>
      </w:pPr>
      <w:r>
        <w:rPr>
          <w:rFonts w:hint="eastAsia"/>
          <w:lang w:val="en-US" w:eastAsia="zh-CN"/>
        </w:rPr>
        <w:t>3.</w:t>
      </w:r>
      <w:r>
        <w:rPr>
          <w:rFonts w:hint="eastAsia"/>
          <w:lang w:val="en-US"/>
        </w:rPr>
        <w:t>项目建设地址</w:t>
      </w:r>
    </w:p>
    <w:p>
      <w:pPr>
        <w:bidi w:val="0"/>
        <w:rPr>
          <w:rFonts w:hint="eastAsia"/>
          <w:lang w:val="en-US" w:eastAsia="zh-CN"/>
        </w:rPr>
      </w:pPr>
      <w:r>
        <w:rPr>
          <w:rFonts w:hint="eastAsia"/>
          <w:lang w:val="en-US" w:eastAsia="zh-CN"/>
        </w:rPr>
        <w:t>自贡市</w:t>
      </w:r>
    </w:p>
    <w:p>
      <w:pPr>
        <w:bidi w:val="0"/>
        <w:rPr>
          <w:lang w:val="en-US"/>
        </w:rPr>
      </w:pPr>
      <w:r>
        <w:rPr>
          <w:rFonts w:hint="eastAsia"/>
          <w:lang w:val="en-US" w:eastAsia="zh-CN"/>
        </w:rPr>
        <w:t>4.</w:t>
      </w:r>
      <w:r>
        <w:rPr>
          <w:rFonts w:hint="eastAsia"/>
          <w:lang w:val="en-US"/>
        </w:rPr>
        <w:t>建设内容及规模</w:t>
      </w:r>
    </w:p>
    <w:p>
      <w:pPr>
        <w:bidi w:val="0"/>
        <w:rPr>
          <w:rFonts w:hint="eastAsia"/>
          <w:b/>
          <w:bCs/>
          <w:color w:val="auto"/>
          <w:sz w:val="24"/>
          <w:szCs w:val="20"/>
          <w:highlight w:val="none"/>
          <w:lang w:val="en-US" w:eastAsia="zh-CN"/>
        </w:rPr>
      </w:pPr>
      <w:bookmarkStart w:id="32" w:name="_Hlk93099427"/>
      <w:r>
        <w:rPr>
          <w:rFonts w:hint="eastAsia"/>
          <w:lang w:eastAsia="zh-CN"/>
        </w:rPr>
        <w:t>为自贡市及自贡市周边群众提供较为优质的公共交通服务，进一步完善自贡区域公共交通服务功能，本工程拟采购409台长续航快充大型纯电公交车，替换全市现有运行的8年及以上或即将报废的409辆老旧非纯电公交车。项目建成后，年减少二氧化碳排放约2万吨，助力自贡市绿色公交升级，实现污染物减排目标。</w:t>
      </w:r>
    </w:p>
    <w:bookmarkEnd w:id="32"/>
    <w:p>
      <w:pPr>
        <w:pStyle w:val="3"/>
        <w:spacing w:before="156" w:after="156"/>
        <w:ind w:firstLine="643"/>
      </w:pPr>
      <w:bookmarkStart w:id="33" w:name="_Toc24339"/>
      <w:bookmarkStart w:id="34" w:name="_Toc49947246"/>
      <w:bookmarkStart w:id="35" w:name="_Toc27640"/>
      <w:bookmarkStart w:id="36" w:name="_Toc2378"/>
      <w:bookmarkStart w:id="37" w:name="_Toc27444"/>
      <w:bookmarkStart w:id="38" w:name="_Toc20775"/>
      <w:bookmarkStart w:id="39" w:name="_Toc129257203"/>
      <w:bookmarkStart w:id="40" w:name="_Toc21342"/>
      <w:bookmarkStart w:id="41" w:name="_Toc6300"/>
      <w:bookmarkStart w:id="42" w:name="_Toc49947160"/>
      <w:bookmarkStart w:id="43" w:name="_Toc259"/>
      <w:r>
        <w:rPr>
          <w:rFonts w:hint="eastAsia"/>
        </w:rPr>
        <w:t>二、经济社会效益分析</w:t>
      </w:r>
      <w:bookmarkEnd w:id="33"/>
      <w:bookmarkEnd w:id="34"/>
      <w:bookmarkEnd w:id="35"/>
      <w:bookmarkEnd w:id="36"/>
      <w:bookmarkEnd w:id="37"/>
      <w:bookmarkEnd w:id="38"/>
      <w:bookmarkEnd w:id="39"/>
      <w:bookmarkEnd w:id="40"/>
      <w:bookmarkEnd w:id="41"/>
      <w:bookmarkEnd w:id="42"/>
      <w:bookmarkEnd w:id="43"/>
    </w:p>
    <w:p>
      <w:pPr>
        <w:pStyle w:val="4"/>
        <w:spacing w:before="156" w:after="156"/>
        <w:ind w:firstLine="643"/>
        <w:rPr>
          <w:rFonts w:hint="eastAsia"/>
        </w:rPr>
      </w:pPr>
      <w:bookmarkStart w:id="44" w:name="_Toc32615"/>
      <w:bookmarkStart w:id="45" w:name="_Toc24840"/>
      <w:bookmarkStart w:id="46" w:name="_Toc49947247"/>
      <w:bookmarkStart w:id="47" w:name="_Toc24650"/>
      <w:bookmarkStart w:id="48" w:name="_Toc15368"/>
      <w:bookmarkStart w:id="49" w:name="_Toc19882"/>
      <w:bookmarkStart w:id="50" w:name="_Toc129257204"/>
      <w:bookmarkStart w:id="51" w:name="_Toc6661"/>
      <w:bookmarkStart w:id="52" w:name="_Toc9613"/>
      <w:bookmarkStart w:id="53" w:name="_Toc49947161"/>
      <w:bookmarkStart w:id="54" w:name="_Toc2439"/>
      <w:r>
        <w:rPr>
          <w:rFonts w:hint="eastAsia"/>
        </w:rPr>
        <w:t>（一）经济效益</w:t>
      </w:r>
      <w:bookmarkEnd w:id="44"/>
      <w:bookmarkEnd w:id="45"/>
      <w:bookmarkEnd w:id="46"/>
      <w:bookmarkEnd w:id="47"/>
      <w:bookmarkEnd w:id="48"/>
      <w:bookmarkEnd w:id="49"/>
      <w:bookmarkEnd w:id="50"/>
      <w:bookmarkEnd w:id="51"/>
      <w:bookmarkEnd w:id="52"/>
      <w:bookmarkEnd w:id="53"/>
      <w:bookmarkEnd w:id="54"/>
    </w:p>
    <w:p>
      <w:pPr>
        <w:bidi w:val="0"/>
        <w:rPr>
          <w:rFonts w:hint="eastAsia"/>
        </w:rPr>
      </w:pPr>
      <w:r>
        <w:rPr>
          <w:rFonts w:hint="eastAsia"/>
        </w:rPr>
        <w:t>本项目的建设能够产生直接和间接的经济效益。</w:t>
      </w:r>
    </w:p>
    <w:p>
      <w:pPr>
        <w:bidi w:val="0"/>
        <w:rPr>
          <w:rFonts w:hint="eastAsia"/>
        </w:rPr>
      </w:pPr>
      <w:r>
        <w:rPr>
          <w:rFonts w:hint="eastAsia"/>
        </w:rPr>
        <w:t>直接经济效益：本项目属于有一定收益的公益项目，项目运营过程能够大幅度提升</w:t>
      </w:r>
      <w:r>
        <w:rPr>
          <w:rFonts w:hint="eastAsia"/>
          <w:lang w:val="en-US" w:eastAsia="zh-CN"/>
        </w:rPr>
        <w:t>自贡市</w:t>
      </w:r>
      <w:r>
        <w:rPr>
          <w:rFonts w:hint="eastAsia"/>
        </w:rPr>
        <w:t>的</w:t>
      </w:r>
      <w:r>
        <w:rPr>
          <w:rFonts w:hint="eastAsia"/>
          <w:lang w:val="en-US" w:eastAsia="zh-CN"/>
        </w:rPr>
        <w:t>公共交通服务</w:t>
      </w:r>
      <w:r>
        <w:rPr>
          <w:rFonts w:hint="eastAsia"/>
        </w:rPr>
        <w:t>水平，增加收入归属于项目的直接经济效益。本项目通过新能源公交车提能建设，可在管理、服务等领域产生巨大的效益，为自贡市发展带来直接和间接经济效益。项目运营计算期中，预计可实现收入118051.74万元。专项债全部到期时，在偿还当年到期本息后，仍有18893.85万元的累计现金结余，项目收益较好，能实现融资平衡。</w:t>
      </w:r>
    </w:p>
    <w:p>
      <w:pPr>
        <w:bidi w:val="0"/>
      </w:pPr>
      <w:r>
        <w:rPr>
          <w:rFonts w:hint="eastAsia"/>
        </w:rPr>
        <w:t>间接经济效益：项目能够在成本、投资方面产生较为明显的间接经济效益。本项目投入运行后，区域内的公共交通运输能力将显著提高，发挥政府投资项目的公益效益。该项目建设后，公共交通保障力度将大大提高，有助于形成规模化的公共交通体系，从而降低成本，在一定程度上减少了资金、人力方面的投入。项目的实施有利于改善城市投资环境，可以吸引社会投资，增加产出，促进地区的发展，有利于推动自贡市GDP和经济持续稳定的增长。</w:t>
      </w:r>
    </w:p>
    <w:p>
      <w:pPr>
        <w:pStyle w:val="4"/>
        <w:numPr>
          <w:ilvl w:val="0"/>
          <w:numId w:val="5"/>
        </w:numPr>
        <w:spacing w:before="156" w:after="156"/>
        <w:ind w:firstLine="643"/>
        <w:rPr>
          <w:rFonts w:hint="eastAsia"/>
        </w:rPr>
      </w:pPr>
      <w:bookmarkStart w:id="55" w:name="_Toc29604"/>
      <w:bookmarkStart w:id="56" w:name="_Toc5153"/>
      <w:bookmarkStart w:id="57" w:name="_Toc29857"/>
      <w:bookmarkStart w:id="58" w:name="_Toc18201"/>
      <w:bookmarkStart w:id="59" w:name="_Toc28350"/>
      <w:bookmarkStart w:id="60" w:name="_Toc49947248"/>
      <w:bookmarkStart w:id="61" w:name="_Toc129257205"/>
      <w:bookmarkStart w:id="62" w:name="_Toc28158"/>
      <w:bookmarkStart w:id="63" w:name="_Toc25329"/>
      <w:bookmarkStart w:id="64" w:name="_Toc16233"/>
      <w:bookmarkStart w:id="65" w:name="_Toc49947162"/>
      <w:r>
        <w:rPr>
          <w:rFonts w:hint="eastAsia"/>
        </w:rPr>
        <w:t>社会效益</w:t>
      </w:r>
      <w:bookmarkEnd w:id="55"/>
      <w:bookmarkEnd w:id="56"/>
      <w:bookmarkEnd w:id="57"/>
      <w:bookmarkEnd w:id="58"/>
      <w:bookmarkEnd w:id="59"/>
      <w:bookmarkEnd w:id="60"/>
      <w:bookmarkEnd w:id="61"/>
      <w:bookmarkEnd w:id="62"/>
      <w:bookmarkEnd w:id="63"/>
      <w:bookmarkEnd w:id="64"/>
      <w:bookmarkEnd w:id="65"/>
    </w:p>
    <w:p>
      <w:pPr>
        <w:bidi w:val="0"/>
        <w:rPr>
          <w:rFonts w:hint="eastAsia"/>
          <w:lang w:val="en-US" w:eastAsia="zh-CN"/>
        </w:rPr>
      </w:pPr>
      <w:r>
        <w:rPr>
          <w:rFonts w:hint="eastAsia"/>
          <w:lang w:val="en-US" w:eastAsia="zh-CN"/>
        </w:rPr>
        <w:t>本工程实施后，将完善四川省自贡市公共交通，健全自贡市的公共交通服务体系，为群众创造一个良好的出行环境，并进一步提高公共交通服务水平，满足人民群众对出行的需求。通过项目建设，为辖区民众的健康及社会经济发展提供优质服务；为满足广大人民群众的出行需求，提高人民群众的出行质量，稳定社会起到积极的作用。同时将增加公司的工作人员，带动一定的社会人员就业。</w:t>
      </w:r>
    </w:p>
    <w:p>
      <w:pPr>
        <w:bidi w:val="0"/>
        <w:rPr>
          <w:rFonts w:hint="eastAsia"/>
          <w:lang w:val="en-US" w:eastAsia="zh-CN"/>
        </w:rPr>
      </w:pPr>
      <w:r>
        <w:rPr>
          <w:rFonts w:hint="eastAsia"/>
          <w:lang w:val="en-US" w:eastAsia="zh-CN"/>
        </w:rPr>
        <w:t>项目建成后，直接拉动本地产业链发展，形成“以购促产”的良性循环。一方面，项目通过集中采购推动本地新能源汽车制造企业扩大产能，吸引上下游配套产业在区域内的投资布局，激活地方工业经济。另一方面，公交运营环节的能源消耗可优先对接本地清洁能源供应体系，促进地方能源产业协同发展，形成绿色经济新增长点。</w:t>
      </w:r>
    </w:p>
    <w:p>
      <w:pPr>
        <w:bidi w:val="0"/>
      </w:pPr>
      <w:r>
        <w:rPr>
          <w:rFonts w:hint="eastAsia"/>
          <w:lang w:val="en-US" w:eastAsia="zh-CN"/>
        </w:rPr>
        <w:t>综上所述，本项目的实施，将会产生良好的经济效益、社会效益，推动地方经济发展和社会进步。综上所述，本项目的实施，将会产生良好的经济效益、社会效益，推动地方经济发展和社会进步。</w:t>
      </w:r>
    </w:p>
    <w:p>
      <w:pPr>
        <w:pStyle w:val="3"/>
        <w:spacing w:before="0" w:beforeLines="0" w:after="0" w:afterLines="0"/>
        <w:ind w:firstLine="643"/>
      </w:pPr>
      <w:bookmarkStart w:id="66" w:name="_Toc3905"/>
      <w:bookmarkStart w:id="67" w:name="_Toc19324"/>
      <w:bookmarkStart w:id="68" w:name="_Toc12518"/>
      <w:bookmarkStart w:id="69" w:name="_Toc10568"/>
      <w:bookmarkStart w:id="70" w:name="_Toc28596"/>
      <w:bookmarkStart w:id="71" w:name="_Toc27365"/>
      <w:bookmarkStart w:id="72" w:name="_Toc49947249"/>
      <w:bookmarkStart w:id="73" w:name="_Toc22731"/>
      <w:bookmarkStart w:id="74" w:name="_Toc25245"/>
      <w:bookmarkStart w:id="75" w:name="_Toc49947163"/>
      <w:bookmarkStart w:id="76" w:name="_Toc129257206"/>
      <w:r>
        <w:rPr>
          <w:rFonts w:hint="eastAsia"/>
        </w:rPr>
        <w:t>三、项目</w:t>
      </w:r>
      <w:bookmarkStart w:id="77" w:name="_Toc14208_WPSOffice_Level1"/>
      <w:r>
        <w:rPr>
          <w:rFonts w:hint="eastAsia"/>
        </w:rPr>
        <w:t>投资估算及资金筹措方案</w:t>
      </w:r>
      <w:bookmarkEnd w:id="66"/>
      <w:bookmarkEnd w:id="67"/>
      <w:bookmarkEnd w:id="68"/>
      <w:bookmarkEnd w:id="69"/>
      <w:bookmarkEnd w:id="70"/>
      <w:bookmarkEnd w:id="71"/>
      <w:bookmarkEnd w:id="72"/>
      <w:bookmarkEnd w:id="73"/>
      <w:bookmarkEnd w:id="74"/>
      <w:bookmarkEnd w:id="75"/>
      <w:bookmarkEnd w:id="76"/>
      <w:bookmarkEnd w:id="77"/>
    </w:p>
    <w:p>
      <w:pPr>
        <w:pStyle w:val="4"/>
        <w:spacing w:before="156" w:after="156"/>
        <w:ind w:firstLine="643"/>
        <w:rPr>
          <w:rFonts w:hint="eastAsia"/>
        </w:rPr>
      </w:pPr>
      <w:bookmarkStart w:id="78" w:name="_Toc2329"/>
      <w:bookmarkStart w:id="79" w:name="_Toc17647"/>
      <w:bookmarkStart w:id="80" w:name="_Toc26342"/>
      <w:bookmarkStart w:id="81" w:name="_Toc129257207"/>
      <w:bookmarkStart w:id="82" w:name="_Toc27733"/>
      <w:bookmarkStart w:id="83" w:name="_Toc16933"/>
      <w:bookmarkStart w:id="84" w:name="_Toc4330"/>
      <w:bookmarkStart w:id="85" w:name="_Toc12096"/>
      <w:bookmarkStart w:id="86" w:name="_Toc49947250"/>
      <w:bookmarkStart w:id="87" w:name="_Toc6126"/>
      <w:bookmarkStart w:id="88" w:name="_Toc49947164"/>
      <w:bookmarkStart w:id="89" w:name="_Toc32468_WPSOffice_Level2"/>
      <w:bookmarkStart w:id="90" w:name="_Toc49947165"/>
      <w:bookmarkStart w:id="91" w:name="_Toc6796"/>
      <w:bookmarkStart w:id="92" w:name="_Toc30576"/>
      <w:bookmarkStart w:id="93" w:name="_Toc536785376"/>
      <w:bookmarkStart w:id="94" w:name="_Toc2442_WPSOffice_Level2"/>
      <w:bookmarkStart w:id="95" w:name="_Toc3955_WPSOffice_Level2"/>
      <w:bookmarkStart w:id="96" w:name="_Toc27943"/>
      <w:bookmarkStart w:id="97" w:name="_Toc25948"/>
      <w:bookmarkStart w:id="98" w:name="_Toc9843"/>
      <w:bookmarkStart w:id="99" w:name="_Toc22236"/>
      <w:bookmarkStart w:id="100" w:name="_Toc19456"/>
      <w:bookmarkStart w:id="101" w:name="_Toc16495"/>
      <w:bookmarkStart w:id="102" w:name="_Toc49947251"/>
      <w:r>
        <w:rPr>
          <w:rFonts w:hint="eastAsia"/>
        </w:rPr>
        <w:t>（一）投资估算</w:t>
      </w:r>
      <w:bookmarkEnd w:id="78"/>
      <w:bookmarkEnd w:id="79"/>
      <w:bookmarkEnd w:id="80"/>
      <w:bookmarkEnd w:id="81"/>
      <w:bookmarkEnd w:id="82"/>
      <w:bookmarkEnd w:id="83"/>
      <w:bookmarkEnd w:id="84"/>
      <w:bookmarkEnd w:id="85"/>
      <w:bookmarkEnd w:id="86"/>
      <w:bookmarkEnd w:id="87"/>
      <w:bookmarkEnd w:id="88"/>
    </w:p>
    <w:p>
      <w:pPr>
        <w:bidi w:val="0"/>
        <w:rPr>
          <w:rFonts w:hint="eastAsia"/>
          <w:lang w:val="en-US" w:eastAsia="zh-CN"/>
        </w:rPr>
      </w:pPr>
      <w:r>
        <w:rPr>
          <w:rFonts w:hint="eastAsia"/>
          <w:lang w:val="en-US" w:eastAsia="zh-CN"/>
        </w:rPr>
        <w:t>在对本项目进行投资估算时，主要依据项目建设方案设计的各项工程量及建设任务，按方案分别计算各项建设工程量和设备配置投资，选择最佳方案，按照建设单位提供的设计范围及该项目的设计资料，采用近似工程扩大指标和有关定额及相关价格进行编制。投资估算依据如下：</w:t>
      </w:r>
    </w:p>
    <w:p>
      <w:pPr>
        <w:bidi w:val="0"/>
        <w:rPr>
          <w:rFonts w:hint="eastAsia"/>
          <w:lang w:val="en-US" w:eastAsia="zh-CN"/>
        </w:rPr>
      </w:pPr>
      <w:r>
        <w:rPr>
          <w:rFonts w:hint="eastAsia"/>
          <w:lang w:val="en-US" w:eastAsia="zh-CN"/>
        </w:rPr>
        <w:t>●《市政工程投资估算编制办法》（建标〔2007〕164号文）；</w:t>
      </w:r>
    </w:p>
    <w:p>
      <w:pPr>
        <w:bidi w:val="0"/>
        <w:rPr>
          <w:rFonts w:hint="eastAsia"/>
          <w:lang w:val="en-US" w:eastAsia="zh-CN"/>
        </w:rPr>
      </w:pPr>
      <w:r>
        <w:rPr>
          <w:rFonts w:hint="eastAsia"/>
          <w:lang w:val="en-US" w:eastAsia="zh-CN"/>
        </w:rPr>
        <w:t>●《建筑工程投资估算编制办法》；</w:t>
      </w:r>
    </w:p>
    <w:p>
      <w:pPr>
        <w:bidi w:val="0"/>
        <w:rPr>
          <w:rFonts w:hint="eastAsia"/>
          <w:lang w:val="en-US" w:eastAsia="zh-CN"/>
        </w:rPr>
      </w:pPr>
      <w:r>
        <w:rPr>
          <w:rFonts w:hint="eastAsia"/>
          <w:lang w:val="en-US" w:eastAsia="zh-CN"/>
        </w:rPr>
        <w:t>●《建设工程工程量清单计价规范》（GB50500-2013）；</w:t>
      </w:r>
    </w:p>
    <w:p>
      <w:pPr>
        <w:bidi w:val="0"/>
        <w:rPr>
          <w:rFonts w:hint="eastAsia"/>
          <w:lang w:val="en-US" w:eastAsia="zh-CN"/>
        </w:rPr>
      </w:pPr>
      <w:r>
        <w:rPr>
          <w:rFonts w:hint="eastAsia"/>
          <w:lang w:val="en-US" w:eastAsia="zh-CN"/>
        </w:rPr>
        <w:t>●《四川省建设工程工程量清单计价定额》（川建发〔2020〕315号文）；</w:t>
      </w:r>
    </w:p>
    <w:p>
      <w:pPr>
        <w:bidi w:val="0"/>
        <w:rPr>
          <w:rFonts w:hint="eastAsia"/>
          <w:lang w:val="en-US" w:eastAsia="zh-CN"/>
        </w:rPr>
      </w:pPr>
      <w:r>
        <w:rPr>
          <w:rFonts w:hint="eastAsia"/>
          <w:lang w:val="en-US" w:eastAsia="zh-CN"/>
        </w:rPr>
        <w:t>●《四川省建设工程工程量清单计价规范》实施办法；</w:t>
      </w:r>
    </w:p>
    <w:p>
      <w:pPr>
        <w:bidi w:val="0"/>
        <w:rPr>
          <w:rFonts w:hint="eastAsia"/>
          <w:lang w:val="en-US" w:eastAsia="zh-CN"/>
        </w:rPr>
      </w:pPr>
      <w:r>
        <w:rPr>
          <w:rFonts w:hint="eastAsia"/>
          <w:lang w:val="en-US" w:eastAsia="zh-CN"/>
        </w:rPr>
        <w:t>●《四川省建设工程工程量清单计价定额》（2020）；</w:t>
      </w:r>
    </w:p>
    <w:p>
      <w:pPr>
        <w:bidi w:val="0"/>
        <w:rPr>
          <w:rFonts w:hint="eastAsia"/>
          <w:lang w:val="en-US" w:eastAsia="zh-CN"/>
        </w:rPr>
      </w:pPr>
      <w:r>
        <w:rPr>
          <w:rFonts w:hint="eastAsia"/>
          <w:lang w:val="en-US" w:eastAsia="zh-CN"/>
        </w:rPr>
        <w:t>●《建设项目经济评价方法与参数》第三版；</w:t>
      </w:r>
    </w:p>
    <w:p>
      <w:pPr>
        <w:bidi w:val="0"/>
        <w:rPr>
          <w:rFonts w:hint="eastAsia"/>
          <w:lang w:val="en-US" w:eastAsia="zh-CN"/>
        </w:rPr>
      </w:pPr>
      <w:r>
        <w:rPr>
          <w:rFonts w:hint="eastAsia"/>
          <w:lang w:val="en-US" w:eastAsia="zh-CN"/>
        </w:rPr>
        <w:t>●《建筑工程投资估算指标》；</w:t>
      </w:r>
    </w:p>
    <w:p>
      <w:pPr>
        <w:bidi w:val="0"/>
        <w:rPr>
          <w:rFonts w:hint="eastAsia"/>
          <w:lang w:val="en-US" w:eastAsia="zh-CN"/>
        </w:rPr>
      </w:pPr>
      <w:r>
        <w:rPr>
          <w:rFonts w:hint="eastAsia"/>
          <w:lang w:val="en-US" w:eastAsia="zh-CN"/>
        </w:rPr>
        <w:t>●《市政工程投资估算指标》（建标〔2007〕163号文）（建标〔2007〕240号文）；</w:t>
      </w:r>
    </w:p>
    <w:p>
      <w:pPr>
        <w:bidi w:val="0"/>
        <w:rPr>
          <w:rFonts w:hint="eastAsia"/>
          <w:lang w:val="en-US" w:eastAsia="zh-CN"/>
        </w:rPr>
      </w:pPr>
      <w:r>
        <w:rPr>
          <w:rFonts w:hint="eastAsia"/>
          <w:lang w:val="en-US" w:eastAsia="zh-CN"/>
        </w:rPr>
        <w:t>●《工程勘察设计收费管理规则》（计价格〔2002〕10号）；</w:t>
      </w:r>
    </w:p>
    <w:p>
      <w:pPr>
        <w:bidi w:val="0"/>
        <w:rPr>
          <w:rFonts w:hint="eastAsia"/>
          <w:lang w:val="en-US" w:eastAsia="zh-CN"/>
        </w:rPr>
      </w:pPr>
      <w:r>
        <w:rPr>
          <w:rFonts w:hint="eastAsia"/>
          <w:lang w:val="en-US" w:eastAsia="zh-CN"/>
        </w:rPr>
        <w:t>●《招标代理服务收费管理暂行办法》（计价格〔2002〕1980号）；</w:t>
      </w:r>
    </w:p>
    <w:p>
      <w:pPr>
        <w:bidi w:val="0"/>
        <w:rPr>
          <w:rFonts w:hint="eastAsia"/>
          <w:lang w:val="en-US" w:eastAsia="zh-CN"/>
        </w:rPr>
      </w:pPr>
      <w:r>
        <w:rPr>
          <w:rFonts w:hint="eastAsia"/>
          <w:lang w:val="en-US" w:eastAsia="zh-CN"/>
        </w:rPr>
        <w:t>●《建设工程造价实用手册》2001版；</w:t>
      </w:r>
    </w:p>
    <w:p>
      <w:pPr>
        <w:bidi w:val="0"/>
        <w:rPr>
          <w:rFonts w:hint="eastAsia"/>
          <w:lang w:val="en-US" w:eastAsia="zh-CN"/>
        </w:rPr>
      </w:pPr>
      <w:r>
        <w:rPr>
          <w:rFonts w:hint="eastAsia"/>
          <w:lang w:val="en-US" w:eastAsia="zh-CN"/>
        </w:rPr>
        <w:t>●《最新造价工程师常用数据与参数大全》2014版；</w:t>
      </w:r>
    </w:p>
    <w:p>
      <w:pPr>
        <w:bidi w:val="0"/>
        <w:rPr>
          <w:rFonts w:hint="eastAsia"/>
          <w:lang w:val="en-US" w:eastAsia="zh-CN"/>
        </w:rPr>
      </w:pPr>
      <w:r>
        <w:rPr>
          <w:rFonts w:hint="eastAsia"/>
          <w:lang w:val="en-US" w:eastAsia="zh-CN"/>
        </w:rPr>
        <w:t>●《造价工程师常用数据手册》；</w:t>
      </w:r>
    </w:p>
    <w:p>
      <w:pPr>
        <w:bidi w:val="0"/>
        <w:rPr>
          <w:rFonts w:hint="eastAsia"/>
          <w:lang w:val="en-US" w:eastAsia="zh-CN"/>
        </w:rPr>
      </w:pPr>
      <w:r>
        <w:rPr>
          <w:rFonts w:hint="eastAsia"/>
          <w:lang w:val="en-US" w:eastAsia="zh-CN"/>
        </w:rPr>
        <w:t>●《建筑业营业税改征值税四川省建设工程计价依据调整办法》的通知（川建造价发〔2016〕349号）；</w:t>
      </w:r>
    </w:p>
    <w:p>
      <w:pPr>
        <w:bidi w:val="0"/>
        <w:rPr>
          <w:rFonts w:hint="eastAsia"/>
          <w:lang w:val="en-US" w:eastAsia="zh-CN"/>
        </w:rPr>
      </w:pPr>
      <w:r>
        <w:rPr>
          <w:rFonts w:hint="eastAsia"/>
          <w:lang w:val="en-US" w:eastAsia="zh-CN"/>
        </w:rPr>
        <w:t>●《四川省发展和改格委员会关于进一步放开住建部门专业服务收费有关事项的通知》（川发改价格〔2015〕769）；</w:t>
      </w:r>
    </w:p>
    <w:p>
      <w:pPr>
        <w:bidi w:val="0"/>
        <w:rPr>
          <w:rFonts w:hint="eastAsia"/>
          <w:lang w:val="en-US" w:eastAsia="zh-CN"/>
        </w:rPr>
      </w:pPr>
      <w:r>
        <w:rPr>
          <w:rFonts w:hint="eastAsia"/>
          <w:lang w:val="en-US" w:eastAsia="zh-CN"/>
        </w:rPr>
        <w:t>●四川省工程造价信息2025年第1期；</w:t>
      </w:r>
    </w:p>
    <w:p>
      <w:pPr>
        <w:bidi w:val="0"/>
        <w:rPr>
          <w:rFonts w:hint="eastAsia"/>
          <w:lang w:val="en-US" w:eastAsia="zh-CN"/>
        </w:rPr>
      </w:pPr>
      <w:r>
        <w:rPr>
          <w:rFonts w:hint="eastAsia"/>
          <w:lang w:val="en-US" w:eastAsia="zh-CN"/>
        </w:rPr>
        <w:t>●自贡市工程造价信息的材料、设备价格及市场询价。</w:t>
      </w:r>
    </w:p>
    <w:p>
      <w:pPr>
        <w:bidi w:val="0"/>
        <w:rPr>
          <w:rFonts w:hint="eastAsia"/>
          <w:lang w:val="en-US" w:eastAsia="zh-CN"/>
        </w:rPr>
      </w:pPr>
      <w:r>
        <w:rPr>
          <w:rFonts w:hint="eastAsia"/>
          <w:lang w:val="en-US" w:eastAsia="zh-CN"/>
        </w:rPr>
        <w:t>据设计文本中的文字说明，方案图纸，主要设备材料表编制。</w:t>
      </w:r>
    </w:p>
    <w:p>
      <w:pPr>
        <w:bidi w:val="0"/>
        <w:rPr>
          <w:rFonts w:hint="eastAsia"/>
          <w:lang w:val="en-US" w:eastAsia="zh-CN"/>
        </w:rPr>
      </w:pPr>
      <w:r>
        <w:rPr>
          <w:rFonts w:hint="eastAsia"/>
          <w:lang w:val="en-US" w:eastAsia="zh-CN"/>
        </w:rPr>
        <w:t>本投资估算计费按《发改价格〔2015〕299号文》中“在已放开非政府投资及非政府委托的建设项目专业服务价格的基础上，全面放开以下实行政府指导价管理的建设项目专业服务价格，实行市场调节价。”的规定基础上参照相关文件、规定、定额等进行取费。</w:t>
      </w:r>
    </w:p>
    <w:p>
      <w:pPr>
        <w:bidi w:val="0"/>
        <w:rPr>
          <w:rFonts w:hint="eastAsia"/>
        </w:rPr>
      </w:pPr>
      <w:r>
        <w:rPr>
          <w:rFonts w:hint="eastAsia"/>
          <w:lang w:val="en-US" w:eastAsia="zh-CN"/>
        </w:rPr>
        <w:t>已建成同类工程经济指标并结合四川省的具体情况加以调整</w:t>
      </w:r>
      <w:r>
        <w:rPr>
          <w:rFonts w:hint="eastAsia"/>
        </w:rPr>
        <w:t>。</w:t>
      </w:r>
    </w:p>
    <w:p>
      <w:pPr>
        <w:shd w:val="clear"/>
        <w:bidi w:val="0"/>
        <w:rPr>
          <w:highlight w:val="none"/>
        </w:rPr>
      </w:pPr>
      <w:r>
        <w:rPr>
          <w:rFonts w:hint="eastAsia"/>
          <w:highlight w:val="none"/>
        </w:rPr>
        <w:t>本工程总投资35500.00万元，其中：第一部分工程费用32720.00万元，第二部分工程建设其他费用836.12万元，第三部分预备费1006.68万元，第四部分建设期利息及发行费937.20万元。</w:t>
      </w:r>
    </w:p>
    <w:p>
      <w:pPr>
        <w:bidi w:val="0"/>
        <w:jc w:val="center"/>
        <w:rPr>
          <w:rFonts w:hint="eastAsia" w:ascii="仿宋" w:hAnsi="仿宋" w:eastAsia="仿宋" w:cs="仿宋"/>
          <w:b/>
          <w:bCs/>
          <w:sz w:val="21"/>
          <w:szCs w:val="21"/>
          <w:highlight w:val="none"/>
        </w:rPr>
      </w:pPr>
      <w:bookmarkStart w:id="103" w:name="_Toc19679"/>
      <w:r>
        <w:rPr>
          <w:rFonts w:hint="eastAsia" w:ascii="仿宋" w:hAnsi="仿宋" w:eastAsia="仿宋" w:cs="仿宋"/>
          <w:b/>
          <w:bCs/>
          <w:sz w:val="21"/>
          <w:szCs w:val="21"/>
          <w:highlight w:val="none"/>
        </w:rPr>
        <w:t>投资汇总表</w:t>
      </w:r>
      <w:bookmarkEnd w:id="103"/>
    </w:p>
    <w:p>
      <w:pPr>
        <w:shd w:val="clear"/>
        <w:spacing w:before="0" w:after="0" w:line="0" w:lineRule="atLeast"/>
        <w:ind w:firstLine="0" w:firstLineChars="0"/>
        <w:jc w:val="right"/>
        <w:rPr>
          <w:rFonts w:hint="eastAsia" w:ascii="仿宋" w:hAnsi="仿宋" w:eastAsia="仿宋" w:cs="仿宋"/>
          <w:b/>
          <w:bCs/>
          <w:sz w:val="21"/>
          <w:szCs w:val="21"/>
          <w:highlight w:val="none"/>
        </w:rPr>
      </w:pPr>
      <w:r>
        <w:rPr>
          <w:rFonts w:hint="eastAsia" w:ascii="仿宋" w:hAnsi="仿宋" w:eastAsia="仿宋" w:cs="仿宋"/>
          <w:b/>
          <w:bCs/>
          <w:sz w:val="21"/>
          <w:szCs w:val="21"/>
          <w:highlight w:val="none"/>
        </w:rPr>
        <w:t>单位：万元</w:t>
      </w:r>
    </w:p>
    <w:tbl>
      <w:tblPr>
        <w:tblStyle w:val="46"/>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122"/>
        <w:gridCol w:w="2946"/>
        <w:gridCol w:w="1840"/>
        <w:gridCol w:w="2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bookmarkStart w:id="104" w:name="_Toc129257208"/>
            <w:r>
              <w:rPr>
                <w:rFonts w:hint="default" w:ascii="Times New Roman" w:hAnsi="Times New Roman" w:cs="Times New Roman"/>
                <w:b w:val="0"/>
                <w:bCs w:val="0"/>
                <w:highlight w:val="none"/>
                <w:lang w:val="en-US" w:eastAsia="zh-CN"/>
              </w:rPr>
              <w:t>序号</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投资构成</w:t>
            </w:r>
          </w:p>
        </w:tc>
        <w:tc>
          <w:tcPr>
            <w:tcW w:w="1079"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金额</w:t>
            </w:r>
          </w:p>
        </w:tc>
        <w:tc>
          <w:tcPr>
            <w:tcW w:w="153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占动态总投资比例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一</w:t>
            </w:r>
          </w:p>
        </w:tc>
        <w:tc>
          <w:tcPr>
            <w:tcW w:w="172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静态总投资</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34,562.80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97.36%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1</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工程建设投资</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32,720.00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92.17%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工程建设其他费用</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836.12</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2.36%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3</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预备费用</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1,006.68</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2.84%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二</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静态投资总额</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34,562.80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97.36%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加：</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建设期利息</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908.80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2.56%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债券发行费用</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28.40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0.08%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三</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动态投资总额</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35,500.00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100.00%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其中：</w:t>
            </w: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项目资本金</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7,100.00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20.00%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25" w:hRule="atLeast"/>
        </w:trPr>
        <w:tc>
          <w:tcPr>
            <w:tcW w:w="65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p>
        </w:tc>
        <w:tc>
          <w:tcPr>
            <w:tcW w:w="172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发行债券</w:t>
            </w:r>
          </w:p>
        </w:tc>
        <w:tc>
          <w:tcPr>
            <w:tcW w:w="183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28,400.00</w:t>
            </w:r>
          </w:p>
        </w:tc>
        <w:tc>
          <w:tcPr>
            <w:tcW w:w="261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ind w:firstLine="0" w:firstLineChars="0"/>
              <w:rPr>
                <w:rFonts w:hint="default" w:ascii="Times New Roman" w:hAnsi="Times New Roman" w:cs="Times New Roman"/>
                <w:b w:val="0"/>
                <w:bCs w:val="0"/>
                <w:highlight w:val="none"/>
                <w:lang w:val="en-US" w:eastAsia="zh-CN"/>
              </w:rPr>
            </w:pPr>
            <w:r>
              <w:rPr>
                <w:rFonts w:hint="default" w:ascii="Times New Roman" w:hAnsi="Times New Roman" w:cs="Times New Roman"/>
                <w:b w:val="0"/>
                <w:bCs w:val="0"/>
                <w:highlight w:val="none"/>
                <w:lang w:val="en-US" w:eastAsia="zh-CN"/>
              </w:rPr>
              <w:t>80.00%</w:t>
            </w:r>
          </w:p>
        </w:tc>
      </w:tr>
    </w:tbl>
    <w:p>
      <w:pPr>
        <w:pStyle w:val="4"/>
        <w:numPr>
          <w:ilvl w:val="0"/>
          <w:numId w:val="0"/>
        </w:numPr>
        <w:spacing w:before="217" w:after="217"/>
        <w:ind w:leftChars="200"/>
        <w:rPr>
          <w:rFonts w:hint="eastAsia"/>
        </w:rPr>
      </w:pPr>
      <w:r>
        <w:rPr>
          <w:rFonts w:hint="eastAsia"/>
          <w:lang w:eastAsia="zh-CN"/>
        </w:rPr>
        <w:t>（</w:t>
      </w:r>
      <w:r>
        <w:rPr>
          <w:rFonts w:hint="eastAsia"/>
          <w:lang w:val="en-US" w:eastAsia="zh-CN"/>
        </w:rPr>
        <w:t>二</w:t>
      </w:r>
      <w:r>
        <w:rPr>
          <w:rFonts w:hint="eastAsia"/>
          <w:lang w:eastAsia="zh-CN"/>
        </w:rPr>
        <w:t>）</w:t>
      </w:r>
      <w:r>
        <w:rPr>
          <w:rFonts w:hint="eastAsia"/>
        </w:rPr>
        <w:t>资金筹措、使用和管理方案</w:t>
      </w:r>
      <w:bookmarkEnd w:id="104"/>
      <w:bookmarkStart w:id="105" w:name="_Toc24663"/>
      <w:bookmarkStart w:id="106" w:name="_Toc10491"/>
      <w:bookmarkStart w:id="107" w:name="_Toc8171"/>
      <w:bookmarkStart w:id="108" w:name="_Toc2672"/>
      <w:bookmarkStart w:id="109" w:name="_Toc8166_WPSOffice_Level3"/>
      <w:bookmarkStart w:id="110" w:name="_Toc32468_WPSOffice_Level3"/>
      <w:bookmarkStart w:id="111" w:name="_Toc7687"/>
      <w:bookmarkStart w:id="112" w:name="_Toc27224"/>
      <w:bookmarkStart w:id="113" w:name="_Toc30549"/>
      <w:bookmarkStart w:id="114" w:name="_Toc12663"/>
    </w:p>
    <w:bookmarkEnd w:id="105"/>
    <w:bookmarkEnd w:id="106"/>
    <w:bookmarkEnd w:id="107"/>
    <w:bookmarkEnd w:id="108"/>
    <w:bookmarkEnd w:id="109"/>
    <w:bookmarkEnd w:id="110"/>
    <w:bookmarkEnd w:id="111"/>
    <w:bookmarkEnd w:id="112"/>
    <w:bookmarkEnd w:id="113"/>
    <w:bookmarkEnd w:id="114"/>
    <w:p>
      <w:pPr>
        <w:pStyle w:val="5"/>
        <w:numPr>
          <w:ilvl w:val="0"/>
          <w:numId w:val="6"/>
        </w:numPr>
        <w:spacing w:before="217" w:after="217"/>
        <w:ind w:firstLine="643"/>
      </w:pPr>
      <w:bookmarkStart w:id="115" w:name="_Toc129257209"/>
      <w:r>
        <w:t>资金来源</w:t>
      </w:r>
      <w:bookmarkEnd w:id="115"/>
    </w:p>
    <w:p>
      <w:pPr>
        <w:numPr>
          <w:ilvl w:val="0"/>
          <w:numId w:val="0"/>
        </w:numPr>
        <w:ind w:firstLine="560" w:firstLineChars="200"/>
        <w:rPr>
          <w:rFonts w:hint="eastAsia"/>
          <w:color w:val="auto"/>
          <w:highlight w:val="none"/>
          <w:lang w:val="en-US"/>
        </w:rPr>
      </w:pPr>
      <w:r>
        <w:rPr>
          <w:rFonts w:hint="eastAsia"/>
          <w:color w:val="auto"/>
          <w:highlight w:val="none"/>
          <w:lang w:val="en-US"/>
        </w:rPr>
        <w:t>本项目资本金来源：项目资本金来源于</w:t>
      </w:r>
      <w:r>
        <w:rPr>
          <w:rFonts w:hint="eastAsia"/>
          <w:color w:val="auto"/>
          <w:highlight w:val="none"/>
          <w:lang w:val="en-US" w:eastAsia="zh-CN"/>
        </w:rPr>
        <w:t>业主自筹</w:t>
      </w:r>
      <w:r>
        <w:rPr>
          <w:rFonts w:hint="eastAsia"/>
          <w:color w:val="auto"/>
          <w:highlight w:val="none"/>
          <w:lang w:val="en-US"/>
        </w:rPr>
        <w:t>。项目资本金7100.00万元，占总投资的20.00%，根据项目建设实际情况计划分批次投入。</w:t>
      </w:r>
    </w:p>
    <w:p>
      <w:pPr>
        <w:numPr>
          <w:ilvl w:val="0"/>
          <w:numId w:val="0"/>
        </w:numPr>
        <w:ind w:firstLine="560" w:firstLineChars="200"/>
        <w:rPr>
          <w:rFonts w:hint="eastAsia"/>
          <w:color w:val="auto"/>
          <w:highlight w:val="none"/>
          <w:lang w:val="en-US"/>
        </w:rPr>
      </w:pPr>
      <w:r>
        <w:rPr>
          <w:rFonts w:hint="eastAsia"/>
          <w:color w:val="auto"/>
          <w:highlight w:val="none"/>
          <w:lang w:val="en-US"/>
        </w:rPr>
        <w:t>融资来源：本项目拟发行政府专项债券总额为28400.00万元，占总投资的80.00%，发行债券期限为10年，债券利率按3.2%测算，发行费为面值的1‰。</w:t>
      </w:r>
    </w:p>
    <w:p>
      <w:pPr>
        <w:widowControl/>
        <w:spacing w:line="400" w:lineRule="exact"/>
        <w:ind w:firstLine="0" w:firstLineChars="0"/>
        <w:jc w:val="center"/>
        <w:rPr>
          <w:rFonts w:hint="eastAsia" w:ascii="仿宋" w:hAnsi="仿宋" w:cs="仿宋"/>
          <w:b/>
          <w:bCs/>
          <w:sz w:val="22"/>
          <w:szCs w:val="22"/>
          <w:highlight w:val="none"/>
        </w:rPr>
      </w:pPr>
      <w:r>
        <w:rPr>
          <w:rFonts w:hint="eastAsia" w:ascii="仿宋" w:hAnsi="仿宋" w:cs="仿宋"/>
          <w:b/>
          <w:bCs/>
          <w:sz w:val="22"/>
          <w:szCs w:val="22"/>
          <w:highlight w:val="none"/>
        </w:rPr>
        <w:t>资金</w:t>
      </w:r>
      <w:r>
        <w:rPr>
          <w:rFonts w:hint="eastAsia" w:ascii="仿宋" w:hAnsi="仿宋" w:cs="仿宋"/>
          <w:b/>
          <w:bCs/>
          <w:sz w:val="22"/>
          <w:szCs w:val="22"/>
          <w:highlight w:val="none"/>
          <w:lang w:val="en-US" w:eastAsia="zh-CN"/>
        </w:rPr>
        <w:t>来源</w:t>
      </w:r>
      <w:r>
        <w:rPr>
          <w:rFonts w:hint="eastAsia" w:ascii="仿宋" w:hAnsi="仿宋" w:cs="仿宋"/>
          <w:b/>
          <w:bCs/>
          <w:sz w:val="22"/>
          <w:szCs w:val="22"/>
          <w:highlight w:val="none"/>
        </w:rPr>
        <w:t>表</w:t>
      </w:r>
    </w:p>
    <w:p>
      <w:pPr>
        <w:widowControl/>
        <w:spacing w:line="400" w:lineRule="exact"/>
        <w:ind w:firstLine="0" w:firstLineChars="0"/>
        <w:jc w:val="right"/>
        <w:rPr>
          <w:rFonts w:ascii="黑体" w:hAnsi="黑体" w:eastAsia="黑体" w:cs="黑体"/>
          <w:bCs/>
          <w:color w:val="auto"/>
          <w:sz w:val="24"/>
          <w:szCs w:val="24"/>
          <w:highlight w:val="none"/>
        </w:rPr>
      </w:pPr>
      <w:r>
        <w:rPr>
          <w:rFonts w:hint="eastAsia" w:ascii="仿宋" w:hAnsi="仿宋" w:cs="仿宋"/>
          <w:b/>
          <w:bCs/>
          <w:sz w:val="22"/>
          <w:szCs w:val="22"/>
          <w:highlight w:val="none"/>
        </w:rPr>
        <w:t>单位：万元</w:t>
      </w:r>
    </w:p>
    <w:tbl>
      <w:tblPr>
        <w:tblStyle w:val="46"/>
        <w:tblW w:w="62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6"/>
        <w:gridCol w:w="2471"/>
        <w:gridCol w:w="17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9" w:hRule="atLeast"/>
          <w:jc w:val="center"/>
        </w:trPr>
        <w:tc>
          <w:tcPr>
            <w:tcW w:w="2076" w:type="dxa"/>
            <w:tcBorders>
              <w:tl2br w:val="nil"/>
              <w:tr2bl w:val="nil"/>
            </w:tcBorders>
            <w:shd w:val="clear" w:color="auto" w:fill="FFFFFF"/>
            <w:vAlign w:val="bottom"/>
          </w:tcPr>
          <w:p>
            <w:pPr>
              <w:pStyle w:val="60"/>
              <w:bidi w:val="0"/>
              <w:rPr>
                <w:rFonts w:hint="eastAsia" w:cs="Times New Roman"/>
                <w:b/>
                <w:bCs/>
                <w:lang w:val="en-GB" w:eastAsia="zh-CN"/>
              </w:rPr>
            </w:pPr>
            <w:r>
              <w:rPr>
                <w:rFonts w:hint="eastAsia" w:cs="Times New Roman"/>
                <w:b/>
                <w:bCs/>
                <w:lang w:val="en-US" w:eastAsia="zh-CN"/>
              </w:rPr>
              <w:t>项目</w:t>
            </w:r>
          </w:p>
        </w:tc>
        <w:tc>
          <w:tcPr>
            <w:tcW w:w="2471" w:type="dxa"/>
            <w:tcBorders>
              <w:tl2br w:val="nil"/>
              <w:tr2bl w:val="nil"/>
            </w:tcBorders>
            <w:shd w:val="clear" w:color="auto" w:fill="FFFFFF"/>
            <w:vAlign w:val="bottom"/>
          </w:tcPr>
          <w:p>
            <w:pPr>
              <w:pStyle w:val="60"/>
              <w:bidi w:val="0"/>
              <w:rPr>
                <w:rFonts w:hint="eastAsia" w:cs="Times New Roman"/>
                <w:b/>
                <w:bCs/>
                <w:lang w:val="en-GB" w:eastAsia="zh-CN"/>
              </w:rPr>
            </w:pPr>
            <w:r>
              <w:rPr>
                <w:rFonts w:hint="eastAsia" w:cs="Times New Roman"/>
                <w:b/>
                <w:bCs/>
                <w:lang w:val="en-US" w:eastAsia="zh-CN"/>
              </w:rPr>
              <w:t>金额</w:t>
            </w:r>
          </w:p>
        </w:tc>
        <w:tc>
          <w:tcPr>
            <w:tcW w:w="1732" w:type="dxa"/>
            <w:tcBorders>
              <w:tl2br w:val="nil"/>
              <w:tr2bl w:val="nil"/>
            </w:tcBorders>
            <w:shd w:val="clear" w:color="auto" w:fill="FFFFFF"/>
            <w:vAlign w:val="bottom"/>
          </w:tcPr>
          <w:p>
            <w:pPr>
              <w:pStyle w:val="60"/>
              <w:bidi w:val="0"/>
              <w:rPr>
                <w:rFonts w:hint="eastAsia" w:cs="Times New Roman"/>
                <w:b/>
                <w:bCs/>
                <w:lang w:val="en-GB" w:eastAsia="zh-CN"/>
              </w:rPr>
            </w:pPr>
            <w:r>
              <w:rPr>
                <w:rFonts w:hint="eastAsia" w:cs="Times New Roman"/>
                <w:b/>
                <w:bCs/>
                <w:lang w:val="en-US" w:eastAsia="zh-CN"/>
              </w:rPr>
              <w:t>比例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4" w:hRule="atLeast"/>
          <w:jc w:val="center"/>
        </w:trPr>
        <w:tc>
          <w:tcPr>
            <w:tcW w:w="2076" w:type="dxa"/>
            <w:tcBorders>
              <w:tl2br w:val="nil"/>
              <w:tr2bl w:val="nil"/>
            </w:tcBorders>
            <w:shd w:val="clear" w:color="auto" w:fill="FFFFFF"/>
            <w:vAlign w:val="bottom"/>
          </w:tcPr>
          <w:p>
            <w:pPr>
              <w:pStyle w:val="60"/>
              <w:bidi w:val="0"/>
              <w:rPr>
                <w:rFonts w:hint="eastAsia" w:cs="Times New Roman"/>
                <w:lang w:val="en-GB" w:eastAsia="zh-CN"/>
              </w:rPr>
            </w:pPr>
            <w:r>
              <w:rPr>
                <w:rFonts w:hint="eastAsia" w:cs="Times New Roman"/>
                <w:lang w:val="en-US" w:eastAsia="zh-CN"/>
              </w:rPr>
              <w:t>资本金</w:t>
            </w:r>
          </w:p>
        </w:tc>
        <w:tc>
          <w:tcPr>
            <w:tcW w:w="2471" w:type="dxa"/>
            <w:tcBorders>
              <w:tl2br w:val="nil"/>
              <w:tr2bl w:val="nil"/>
            </w:tcBorders>
            <w:shd w:val="clear" w:color="auto" w:fill="FFFFFF"/>
            <w:vAlign w:val="center"/>
          </w:tcPr>
          <w:p>
            <w:pPr>
              <w:pStyle w:val="60"/>
              <w:bidi w:val="0"/>
              <w:rPr>
                <w:rFonts w:hint="eastAsia" w:cs="Times New Roman"/>
                <w:lang w:val="en-US" w:eastAsia="zh-CN"/>
              </w:rPr>
            </w:pPr>
            <w:r>
              <w:rPr>
                <w:rFonts w:hint="eastAsia" w:cs="Times New Roman"/>
                <w:lang w:val="en-US" w:eastAsia="zh-CN"/>
              </w:rPr>
              <w:t>7100.00</w:t>
            </w:r>
          </w:p>
        </w:tc>
        <w:tc>
          <w:tcPr>
            <w:tcW w:w="1732" w:type="dxa"/>
            <w:tcBorders>
              <w:tl2br w:val="nil"/>
              <w:tr2bl w:val="nil"/>
            </w:tcBorders>
            <w:shd w:val="clear" w:color="auto" w:fill="FFFFFF"/>
            <w:vAlign w:val="bottom"/>
          </w:tcPr>
          <w:p>
            <w:pPr>
              <w:pStyle w:val="60"/>
              <w:bidi w:val="0"/>
              <w:rPr>
                <w:rFonts w:hint="eastAsia" w:cs="Times New Roman"/>
                <w:lang w:val="en-US" w:eastAsia="zh-CN"/>
              </w:rPr>
            </w:pPr>
            <w:r>
              <w:rPr>
                <w:rFonts w:hint="eastAsia" w:cs="Times New Roman"/>
                <w:lang w:val="en-US" w:eastAsia="zh-CN"/>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8" w:hRule="atLeast"/>
          <w:jc w:val="center"/>
        </w:trPr>
        <w:tc>
          <w:tcPr>
            <w:tcW w:w="2076" w:type="dxa"/>
            <w:tcBorders>
              <w:tl2br w:val="nil"/>
              <w:tr2bl w:val="nil"/>
            </w:tcBorders>
            <w:shd w:val="clear" w:color="auto" w:fill="FFFFFF"/>
            <w:vAlign w:val="bottom"/>
          </w:tcPr>
          <w:p>
            <w:pPr>
              <w:pStyle w:val="60"/>
              <w:bidi w:val="0"/>
              <w:rPr>
                <w:rFonts w:hint="eastAsia" w:cs="Times New Roman"/>
                <w:lang w:val="en-GB" w:eastAsia="zh-CN"/>
              </w:rPr>
            </w:pPr>
            <w:r>
              <w:rPr>
                <w:rFonts w:hint="eastAsia" w:cs="Times New Roman"/>
                <w:lang w:val="en-US" w:eastAsia="zh-CN"/>
              </w:rPr>
              <w:t>发债金额</w:t>
            </w:r>
          </w:p>
        </w:tc>
        <w:tc>
          <w:tcPr>
            <w:tcW w:w="2471" w:type="dxa"/>
            <w:tcBorders>
              <w:tl2br w:val="nil"/>
              <w:tr2bl w:val="nil"/>
            </w:tcBorders>
            <w:shd w:val="clear" w:color="auto" w:fill="FFFFFF"/>
            <w:vAlign w:val="center"/>
          </w:tcPr>
          <w:p>
            <w:pPr>
              <w:pStyle w:val="60"/>
              <w:bidi w:val="0"/>
              <w:rPr>
                <w:rFonts w:hint="eastAsia" w:cs="Times New Roman"/>
                <w:lang w:val="en-US" w:eastAsia="zh-CN"/>
              </w:rPr>
            </w:pPr>
            <w:r>
              <w:rPr>
                <w:rFonts w:hint="eastAsia" w:cs="Times New Roman"/>
                <w:lang w:val="en-US" w:eastAsia="zh-CN"/>
              </w:rPr>
              <w:t>28400.00</w:t>
            </w:r>
          </w:p>
        </w:tc>
        <w:tc>
          <w:tcPr>
            <w:tcW w:w="1732" w:type="dxa"/>
            <w:tcBorders>
              <w:tl2br w:val="nil"/>
              <w:tr2bl w:val="nil"/>
            </w:tcBorders>
            <w:shd w:val="clear" w:color="auto" w:fill="FFFFFF"/>
            <w:vAlign w:val="bottom"/>
          </w:tcPr>
          <w:p>
            <w:pPr>
              <w:pStyle w:val="60"/>
              <w:bidi w:val="0"/>
              <w:rPr>
                <w:rFonts w:hint="eastAsia" w:cs="Times New Roman"/>
                <w:lang w:val="en-US" w:eastAsia="zh-CN"/>
              </w:rPr>
            </w:pPr>
            <w:r>
              <w:rPr>
                <w:rFonts w:hint="eastAsia" w:cs="Times New Roman"/>
                <w:lang w:val="en-US" w:eastAsia="zh-CN"/>
              </w:rPr>
              <w:t>80.00%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2" w:hRule="atLeast"/>
          <w:jc w:val="center"/>
        </w:trPr>
        <w:tc>
          <w:tcPr>
            <w:tcW w:w="2076" w:type="dxa"/>
            <w:tcBorders>
              <w:tl2br w:val="nil"/>
              <w:tr2bl w:val="nil"/>
            </w:tcBorders>
            <w:shd w:val="clear" w:color="auto" w:fill="FFFFFF"/>
            <w:vAlign w:val="bottom"/>
          </w:tcPr>
          <w:p>
            <w:pPr>
              <w:pStyle w:val="60"/>
              <w:bidi w:val="0"/>
              <w:rPr>
                <w:rFonts w:hint="eastAsia" w:cs="Times New Roman"/>
                <w:lang w:val="en-GB" w:eastAsia="zh-CN"/>
              </w:rPr>
            </w:pPr>
            <w:r>
              <w:rPr>
                <w:rFonts w:hint="eastAsia" w:cs="Times New Roman"/>
                <w:lang w:val="en-US" w:eastAsia="zh-CN"/>
              </w:rPr>
              <w:t>总金额</w:t>
            </w:r>
          </w:p>
        </w:tc>
        <w:tc>
          <w:tcPr>
            <w:tcW w:w="2471" w:type="dxa"/>
            <w:tcBorders>
              <w:tl2br w:val="nil"/>
              <w:tr2bl w:val="nil"/>
            </w:tcBorders>
            <w:shd w:val="clear" w:color="auto" w:fill="FFFFFF"/>
            <w:vAlign w:val="bottom"/>
          </w:tcPr>
          <w:p>
            <w:pPr>
              <w:pStyle w:val="60"/>
              <w:bidi w:val="0"/>
              <w:rPr>
                <w:rFonts w:hint="eastAsia" w:cs="Times New Roman"/>
                <w:lang w:val="en-US" w:eastAsia="zh-CN"/>
              </w:rPr>
            </w:pPr>
            <w:r>
              <w:rPr>
                <w:rFonts w:hint="eastAsia" w:cs="Times New Roman"/>
                <w:lang w:val="en-US" w:eastAsia="zh-CN"/>
              </w:rPr>
              <w:t>35500.00</w:t>
            </w:r>
          </w:p>
        </w:tc>
        <w:tc>
          <w:tcPr>
            <w:tcW w:w="1732" w:type="dxa"/>
            <w:tcBorders>
              <w:tl2br w:val="nil"/>
              <w:tr2bl w:val="nil"/>
            </w:tcBorders>
            <w:shd w:val="clear" w:color="auto" w:fill="FFFFFF"/>
            <w:vAlign w:val="bottom"/>
          </w:tcPr>
          <w:p>
            <w:pPr>
              <w:pStyle w:val="60"/>
              <w:bidi w:val="0"/>
              <w:rPr>
                <w:rFonts w:hint="eastAsia" w:cs="Times New Roman"/>
                <w:lang w:val="en-GB" w:eastAsia="zh-CN"/>
              </w:rPr>
            </w:pPr>
            <w:r>
              <w:rPr>
                <w:rFonts w:hint="eastAsia" w:cs="Times New Roman"/>
                <w:lang w:val="en-US" w:eastAsia="zh-CN"/>
              </w:rPr>
              <w:t>100.00%</w:t>
            </w:r>
          </w:p>
        </w:tc>
      </w:tr>
    </w:tbl>
    <w:p>
      <w:pPr>
        <w:pStyle w:val="5"/>
        <w:numPr>
          <w:ilvl w:val="0"/>
          <w:numId w:val="6"/>
        </w:numPr>
        <w:spacing w:before="0" w:beforeLines="0" w:after="0" w:afterLines="0"/>
        <w:ind w:left="0" w:leftChars="0" w:firstLine="562" w:firstLineChars="200"/>
        <w:rPr>
          <w:rFonts w:hint="eastAsia"/>
        </w:rPr>
      </w:pPr>
      <w:bookmarkStart w:id="116" w:name="_Toc129257212"/>
      <w:r>
        <w:rPr>
          <w:rFonts w:hint="eastAsia"/>
        </w:rPr>
        <w:t>资金使用计划</w:t>
      </w:r>
      <w:bookmarkEnd w:id="116"/>
    </w:p>
    <w:p>
      <w:pPr>
        <w:bidi w:val="0"/>
        <w:rPr>
          <w:rFonts w:hint="eastAsia" w:eastAsia="仿宋"/>
          <w:highlight w:val="none"/>
          <w:lang w:eastAsia="zh-CN"/>
        </w:rPr>
      </w:pPr>
      <w:r>
        <w:rPr>
          <w:rFonts w:hint="eastAsia"/>
          <w:highlight w:val="none"/>
        </w:rPr>
        <w:t>项目所筹资金将根据项目实施计划和实时建设进度来进行合理分配，且将全部投资于本项目，具体数额应当根据进度支出。在保证项目工程投资资金充足的情况下，充分利用且不浪费当年度专项债券融资额度。按照建设进度，总投资计划在一个年度投入</w:t>
      </w:r>
      <w:r>
        <w:rPr>
          <w:rFonts w:hint="eastAsia"/>
          <w:highlight w:val="none"/>
          <w:lang w:eastAsia="zh-CN"/>
        </w:rPr>
        <w:t>：</w:t>
      </w:r>
    </w:p>
    <w:p>
      <w:pPr>
        <w:adjustRightInd w:val="0"/>
        <w:snapToGrid w:val="0"/>
        <w:spacing w:before="0" w:after="0"/>
        <w:ind w:firstLine="0" w:firstLineChars="0"/>
        <w:jc w:val="center"/>
        <w:rPr>
          <w:rFonts w:ascii="仿宋" w:hAnsi="仿宋" w:cs="仿宋"/>
          <w:b/>
          <w:bCs/>
          <w:sz w:val="22"/>
          <w:szCs w:val="22"/>
          <w:highlight w:val="none"/>
        </w:rPr>
      </w:pPr>
      <w:r>
        <w:rPr>
          <w:rFonts w:hint="eastAsia" w:ascii="仿宋" w:hAnsi="仿宋" w:cs="仿宋"/>
          <w:b/>
          <w:bCs/>
          <w:sz w:val="22"/>
          <w:szCs w:val="22"/>
          <w:highlight w:val="none"/>
        </w:rPr>
        <w:t>项目资金使用与筹措表</w:t>
      </w:r>
    </w:p>
    <w:p>
      <w:pPr>
        <w:adjustRightInd w:val="0"/>
        <w:snapToGrid w:val="0"/>
        <w:spacing w:before="0" w:after="0" w:line="0" w:lineRule="atLeast"/>
        <w:ind w:firstLine="0" w:firstLineChars="0"/>
        <w:jc w:val="right"/>
        <w:rPr>
          <w:rFonts w:hint="eastAsia" w:ascii="仿宋" w:hAnsi="仿宋" w:cs="仿宋"/>
          <w:b/>
          <w:bCs/>
          <w:sz w:val="22"/>
          <w:szCs w:val="22"/>
          <w:highlight w:val="none"/>
        </w:rPr>
      </w:pPr>
      <w:r>
        <w:rPr>
          <w:rFonts w:hint="eastAsia" w:ascii="仿宋" w:hAnsi="仿宋" w:cs="仿宋"/>
          <w:b/>
          <w:bCs/>
          <w:sz w:val="22"/>
          <w:szCs w:val="22"/>
          <w:highlight w:val="none"/>
        </w:rPr>
        <w:t>单位：万元</w:t>
      </w:r>
    </w:p>
    <w:tbl>
      <w:tblPr>
        <w:tblStyle w:val="46"/>
        <w:tblW w:w="6178"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68"/>
        <w:gridCol w:w="1847"/>
        <w:gridCol w:w="1700"/>
        <w:gridCol w:w="186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68"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序号</w:t>
            </w:r>
          </w:p>
        </w:tc>
        <w:tc>
          <w:tcPr>
            <w:tcW w:w="1847"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项  目</w:t>
            </w:r>
          </w:p>
        </w:tc>
        <w:tc>
          <w:tcPr>
            <w:tcW w:w="1700" w:type="dxa"/>
            <w:vMerge w:val="restar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合计</w:t>
            </w:r>
          </w:p>
        </w:tc>
        <w:tc>
          <w:tcPr>
            <w:tcW w:w="186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建设期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768"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p>
        </w:tc>
        <w:tc>
          <w:tcPr>
            <w:tcW w:w="1847"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p>
        </w:tc>
        <w:tc>
          <w:tcPr>
            <w:tcW w:w="1700" w:type="dxa"/>
            <w:vMerge w:val="continue"/>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第1年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一</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资金使用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35,500.00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35,500.00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建设投资</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34,562.80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34,562.80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建设期债券利息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908.80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908.80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3</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债券发行费用</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28.40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28.40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0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二</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资金筹措</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35,500.00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35,500.00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8"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项目资本金</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7,100.00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7,100.00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19" w:hRule="atLeast"/>
          <w:jc w:val="center"/>
        </w:trPr>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2</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专项债</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28,400.00 </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default" w:ascii="Times New Roman" w:hAnsi="Times New Roman" w:cs="Times New Roman"/>
                <w:b w:val="0"/>
                <w:bCs w:val="0"/>
                <w:lang w:val="en-US" w:eastAsia="zh-CN"/>
              </w:rPr>
            </w:pPr>
            <w:r>
              <w:rPr>
                <w:rFonts w:hint="default" w:ascii="Times New Roman" w:hAnsi="Times New Roman" w:cs="Times New Roman"/>
                <w:b w:val="0"/>
                <w:bCs w:val="0"/>
                <w:lang w:val="en-US" w:eastAsia="zh-CN"/>
              </w:rPr>
              <w:t xml:space="preserve">28,400.00 </w:t>
            </w:r>
          </w:p>
        </w:tc>
      </w:tr>
    </w:tbl>
    <w:p>
      <w:pPr>
        <w:adjustRightInd w:val="0"/>
        <w:snapToGrid w:val="0"/>
        <w:spacing w:before="0" w:after="0" w:line="0" w:lineRule="atLeast"/>
        <w:ind w:firstLine="0" w:firstLineChars="0"/>
        <w:jc w:val="right"/>
        <w:rPr>
          <w:rFonts w:hint="eastAsia" w:ascii="仿宋" w:hAnsi="仿宋" w:cs="仿宋"/>
          <w:b/>
          <w:bCs/>
          <w:sz w:val="22"/>
          <w:szCs w:val="22"/>
          <w:highlight w:val="none"/>
        </w:rPr>
      </w:pPr>
    </w:p>
    <w:bookmarkEnd w:id="89"/>
    <w:bookmarkEnd w:id="90"/>
    <w:bookmarkEnd w:id="91"/>
    <w:bookmarkEnd w:id="92"/>
    <w:bookmarkEnd w:id="93"/>
    <w:bookmarkEnd w:id="94"/>
    <w:bookmarkEnd w:id="95"/>
    <w:bookmarkEnd w:id="96"/>
    <w:bookmarkEnd w:id="97"/>
    <w:bookmarkEnd w:id="98"/>
    <w:bookmarkEnd w:id="99"/>
    <w:bookmarkEnd w:id="100"/>
    <w:bookmarkEnd w:id="101"/>
    <w:bookmarkEnd w:id="102"/>
    <w:p>
      <w:pPr>
        <w:pStyle w:val="3"/>
        <w:spacing w:before="217" w:after="217"/>
        <w:ind w:firstLine="643"/>
      </w:pPr>
      <w:bookmarkStart w:id="117" w:name="_Toc129257215"/>
      <w:bookmarkStart w:id="118" w:name="_Toc26692"/>
      <w:bookmarkStart w:id="119" w:name="_Toc31291"/>
      <w:bookmarkStart w:id="120" w:name="_Toc16249"/>
      <w:bookmarkStart w:id="121" w:name="_Toc20232"/>
      <w:bookmarkStart w:id="122" w:name="_Toc49947252"/>
      <w:bookmarkStart w:id="123" w:name="_Toc31282"/>
      <w:bookmarkStart w:id="124" w:name="_Toc31665"/>
      <w:bookmarkStart w:id="125" w:name="_Toc2776"/>
      <w:bookmarkStart w:id="126" w:name="_Toc49947166"/>
      <w:bookmarkStart w:id="127" w:name="_Toc22158"/>
      <w:r>
        <w:rPr>
          <w:rFonts w:hint="eastAsia"/>
        </w:rPr>
        <w:t>四、项目预期收益、成本及融资平衡情况</w:t>
      </w:r>
      <w:bookmarkEnd w:id="117"/>
      <w:bookmarkEnd w:id="118"/>
      <w:bookmarkEnd w:id="119"/>
      <w:bookmarkEnd w:id="120"/>
      <w:bookmarkEnd w:id="121"/>
      <w:bookmarkEnd w:id="122"/>
      <w:bookmarkEnd w:id="123"/>
      <w:bookmarkEnd w:id="124"/>
      <w:bookmarkEnd w:id="125"/>
      <w:bookmarkEnd w:id="126"/>
      <w:bookmarkEnd w:id="127"/>
    </w:p>
    <w:p>
      <w:pPr>
        <w:pStyle w:val="4"/>
        <w:spacing w:before="217" w:after="217"/>
        <w:ind w:firstLine="643"/>
      </w:pPr>
      <w:bookmarkStart w:id="128" w:name="_Toc9610"/>
      <w:bookmarkStart w:id="129" w:name="_Toc17725"/>
      <w:bookmarkStart w:id="130" w:name="_Toc12637"/>
      <w:bookmarkStart w:id="131" w:name="_Toc49947253"/>
      <w:bookmarkStart w:id="132" w:name="_Toc26816"/>
      <w:bookmarkStart w:id="133" w:name="_Toc14824"/>
      <w:bookmarkStart w:id="134" w:name="_Toc49947167"/>
      <w:bookmarkStart w:id="135" w:name="_Toc23511"/>
      <w:bookmarkStart w:id="136" w:name="_Toc18251"/>
      <w:bookmarkStart w:id="137" w:name="_Toc129257216"/>
      <w:bookmarkStart w:id="138" w:name="_Toc16780"/>
      <w:r>
        <w:rPr>
          <w:rFonts w:hint="eastAsia"/>
        </w:rPr>
        <w:t>（一）预期收益</w:t>
      </w:r>
      <w:bookmarkEnd w:id="128"/>
      <w:bookmarkEnd w:id="129"/>
      <w:bookmarkEnd w:id="130"/>
      <w:bookmarkEnd w:id="131"/>
      <w:bookmarkEnd w:id="132"/>
      <w:bookmarkEnd w:id="133"/>
      <w:bookmarkEnd w:id="134"/>
      <w:bookmarkEnd w:id="135"/>
      <w:bookmarkEnd w:id="136"/>
      <w:bookmarkEnd w:id="137"/>
      <w:bookmarkEnd w:id="138"/>
    </w:p>
    <w:p>
      <w:pPr>
        <w:tabs>
          <w:tab w:val="left" w:pos="3552"/>
        </w:tabs>
        <w:ind w:firstLine="643"/>
        <w:outlineLvl w:val="2"/>
        <w:rPr>
          <w:rFonts w:hint="eastAsia"/>
          <w:b/>
          <w:bCs/>
          <w:lang w:val="en-US" w:eastAsia="zh-CN"/>
        </w:rPr>
      </w:pPr>
      <w:bookmarkStart w:id="139" w:name="_Toc11330"/>
      <w:bookmarkStart w:id="140" w:name="_Toc24919"/>
      <w:bookmarkStart w:id="141" w:name="_Toc4276"/>
      <w:bookmarkStart w:id="142" w:name="_Toc21504"/>
      <w:bookmarkStart w:id="143" w:name="_Toc7962"/>
      <w:bookmarkStart w:id="144" w:name="_Toc129257217"/>
      <w:bookmarkStart w:id="145" w:name="_Toc49947168"/>
      <w:bookmarkStart w:id="146" w:name="_Toc7531"/>
      <w:bookmarkStart w:id="147" w:name="_Toc13243"/>
      <w:bookmarkStart w:id="148" w:name="_Toc22393"/>
      <w:bookmarkStart w:id="149" w:name="_Toc49947254"/>
      <w:bookmarkStart w:id="150" w:name="_Toc25884"/>
      <w:bookmarkStart w:id="151" w:name="_Toc27871"/>
      <w:bookmarkStart w:id="152" w:name="_Toc4167"/>
      <w:bookmarkStart w:id="153" w:name="_Toc21280"/>
      <w:bookmarkStart w:id="154" w:name="_Toc14832"/>
      <w:bookmarkStart w:id="155" w:name="_Toc27574"/>
      <w:bookmarkStart w:id="156" w:name="_Toc28519"/>
      <w:bookmarkStart w:id="157" w:name="_Toc6320"/>
      <w:bookmarkStart w:id="158" w:name="_Toc3325"/>
      <w:r>
        <w:rPr>
          <w:rFonts w:hint="eastAsia"/>
          <w:b/>
          <w:bCs/>
          <w:lang w:val="en-US" w:eastAsia="zh-CN"/>
        </w:rPr>
        <w:t>1</w:t>
      </w:r>
      <w:r>
        <w:rPr>
          <w:rFonts w:hint="eastAsia"/>
          <w:b/>
          <w:bCs/>
        </w:rPr>
        <w:t>.项目运营</w:t>
      </w:r>
      <w:r>
        <w:rPr>
          <w:rFonts w:hint="eastAsia"/>
          <w:b/>
          <w:bCs/>
          <w:lang w:val="en-US" w:eastAsia="zh-CN"/>
        </w:rPr>
        <w:t>收入</w:t>
      </w:r>
    </w:p>
    <w:p>
      <w:pPr>
        <w:bidi w:val="0"/>
        <w:rPr>
          <w:rFonts w:hint="eastAsia"/>
          <w:lang w:eastAsia="zh-CN"/>
        </w:rPr>
      </w:pPr>
      <w:r>
        <w:rPr>
          <w:rFonts w:hint="eastAsia"/>
          <w:lang w:eastAsia="zh-CN"/>
        </w:rPr>
        <w:t>本工程收入测算参考《自贡市公交集团有限责任公司2022年-2024年财务报表》的相关数据。本工程的主要收入为交通收入，暂不考虑其他收入等，假设收支变化趋势稳定，测算设备运营第一年的盈利能力。</w:t>
      </w:r>
    </w:p>
    <w:p>
      <w:pPr>
        <w:bidi w:val="0"/>
        <w:rPr>
          <w:rFonts w:hint="eastAsia"/>
          <w:lang w:eastAsia="zh-CN"/>
        </w:rPr>
      </w:pPr>
      <w:r>
        <w:rPr>
          <w:rFonts w:hint="eastAsia"/>
          <w:lang w:eastAsia="zh-CN"/>
        </w:rPr>
        <w:t>自贡市公交集团有限责任公司的2022-2024年交通收入分别为：</w:t>
      </w:r>
    </w:p>
    <w:p>
      <w:pPr>
        <w:bidi w:val="0"/>
        <w:rPr>
          <w:rFonts w:hint="eastAsia"/>
          <w:lang w:eastAsia="zh-CN"/>
        </w:rPr>
      </w:pPr>
      <w:r>
        <w:rPr>
          <w:rFonts w:hint="eastAsia"/>
          <w:lang w:eastAsia="zh-CN"/>
        </w:rPr>
        <w:t>2022年自贡市公交集团有限责任公司的交通收入为13094.00万元/年；</w:t>
      </w:r>
    </w:p>
    <w:p>
      <w:pPr>
        <w:bidi w:val="0"/>
        <w:rPr>
          <w:rFonts w:hint="eastAsia"/>
          <w:lang w:eastAsia="zh-CN"/>
        </w:rPr>
      </w:pPr>
      <w:r>
        <w:rPr>
          <w:rFonts w:hint="eastAsia"/>
          <w:lang w:eastAsia="zh-CN"/>
        </w:rPr>
        <w:t>2023年自贡市公交集团有限责任公司的交通收入为13569.41万元/年；</w:t>
      </w:r>
    </w:p>
    <w:p>
      <w:pPr>
        <w:bidi w:val="0"/>
        <w:rPr>
          <w:rFonts w:hint="eastAsia"/>
          <w:lang w:eastAsia="zh-CN"/>
        </w:rPr>
      </w:pPr>
      <w:r>
        <w:rPr>
          <w:rFonts w:hint="eastAsia"/>
          <w:lang w:eastAsia="zh-CN"/>
        </w:rPr>
        <w:t>2024年自贡市公交集团有限责任公司的交通收入为13188.25万元/年。</w:t>
      </w:r>
    </w:p>
    <w:p>
      <w:pPr>
        <w:bidi w:val="0"/>
        <w:rPr>
          <w:rFonts w:hint="eastAsia"/>
          <w:lang w:eastAsia="zh-CN"/>
        </w:rPr>
      </w:pPr>
      <w:r>
        <w:rPr>
          <w:rFonts w:hint="eastAsia"/>
          <w:lang w:eastAsia="zh-CN"/>
        </w:rPr>
        <w:t>根据网上查阅资料，自贡市辖区内60岁以上老人及6周岁以下儿童占总人口比例约为30%，自贡市公交车票价为2元/人·次，则实际收费票价折合约为1.4元/人·次，结合自贡公交集团有限责任公司2022-2024年交通收入数据，年均收入为13283.89万元，可得年运输人次为9488.49万人次。</w:t>
      </w:r>
    </w:p>
    <w:p>
      <w:pPr>
        <w:bidi w:val="0"/>
        <w:rPr>
          <w:rFonts w:hint="eastAsia"/>
          <w:lang w:eastAsia="zh-CN"/>
        </w:rPr>
      </w:pPr>
      <w:r>
        <w:rPr>
          <w:rFonts w:hint="eastAsia"/>
          <w:lang w:eastAsia="zh-CN"/>
        </w:rPr>
        <w:t>根据谨慎性原则，本工程取自贡市公交集团有限责任公司近三年交通收入平均值13283.89万元/年为首年收入参考。考虑到就公共交通为居民出行的基本保障，未来价格变动不大，且今年自贡市人口增长率平均为-0.32%，因此，年假设原公司收入增长率按照市场行情年增长率-0.32%进行估算。</w:t>
      </w:r>
    </w:p>
    <w:bookmarkEnd w:id="139"/>
    <w:bookmarkEnd w:id="140"/>
    <w:bookmarkEnd w:id="141"/>
    <w:bookmarkEnd w:id="142"/>
    <w:bookmarkEnd w:id="143"/>
    <w:bookmarkEnd w:id="144"/>
    <w:bookmarkEnd w:id="145"/>
    <w:bookmarkEnd w:id="146"/>
    <w:bookmarkEnd w:id="147"/>
    <w:bookmarkEnd w:id="148"/>
    <w:bookmarkEnd w:id="149"/>
    <w:bookmarkEnd w:id="150"/>
    <w:p>
      <w:pPr>
        <w:pStyle w:val="45"/>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lang w:val="en-US" w:eastAsia="zh-CN"/>
        </w:rPr>
      </w:pPr>
      <w:r>
        <w:rPr>
          <w:highlight w:val="none"/>
        </w:rPr>
        <w:drawing>
          <wp:inline distT="0" distB="0" distL="114300" distR="114300">
            <wp:extent cx="3562350" cy="5411470"/>
            <wp:effectExtent l="0" t="0" r="0" b="177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rcRect r="32458" b="31451"/>
                    <a:stretch>
                      <a:fillRect/>
                    </a:stretch>
                  </pic:blipFill>
                  <pic:spPr>
                    <a:xfrm>
                      <a:off x="0" y="0"/>
                      <a:ext cx="3562350" cy="541147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left="0" w:leftChars="0" w:firstLineChars="200"/>
        <w:jc w:val="center"/>
        <w:textAlignment w:val="auto"/>
        <w:rPr>
          <w:rFonts w:hint="eastAsia" w:asciiTheme="minorEastAsia" w:hAnsiTheme="minorEastAsia" w:eastAsiaTheme="minorEastAsia" w:cstheme="minorEastAsia"/>
          <w:b/>
          <w:bCs/>
          <w:sz w:val="20"/>
          <w:szCs w:val="18"/>
          <w:lang w:val="en-US" w:eastAsia="zh-CN"/>
        </w:rPr>
      </w:pPr>
      <w:r>
        <w:rPr>
          <w:rFonts w:hint="eastAsia" w:asciiTheme="minorEastAsia" w:hAnsiTheme="minorEastAsia" w:eastAsiaTheme="minorEastAsia" w:cstheme="minorEastAsia"/>
          <w:b/>
          <w:bCs/>
          <w:sz w:val="20"/>
          <w:szCs w:val="18"/>
          <w:lang w:val="en-US" w:eastAsia="zh-CN"/>
        </w:rPr>
        <w:t>图1 自贡市公交集团有限责任公司2022年收入明细表</w:t>
      </w:r>
    </w:p>
    <w:p>
      <w:pPr>
        <w:pStyle w:val="45"/>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default"/>
          <w:lang w:val="en-US" w:eastAsia="zh-CN"/>
        </w:rPr>
      </w:pPr>
      <w:r>
        <w:drawing>
          <wp:inline distT="0" distB="0" distL="114300" distR="114300">
            <wp:extent cx="3863975" cy="4884420"/>
            <wp:effectExtent l="0" t="0" r="3175" b="1143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rcRect r="26704" b="32503"/>
                    <a:stretch>
                      <a:fillRect/>
                    </a:stretch>
                  </pic:blipFill>
                  <pic:spPr>
                    <a:xfrm>
                      <a:off x="0" y="0"/>
                      <a:ext cx="3863975" cy="488442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left="0" w:leftChars="0" w:firstLineChars="200"/>
        <w:jc w:val="center"/>
        <w:textAlignment w:val="auto"/>
        <w:rPr>
          <w:rFonts w:hint="eastAsia"/>
          <w:lang w:val="en-US" w:eastAsia="zh-CN"/>
        </w:rPr>
      </w:pPr>
      <w:r>
        <w:rPr>
          <w:rFonts w:hint="eastAsia" w:asciiTheme="minorEastAsia" w:hAnsiTheme="minorEastAsia" w:eastAsiaTheme="minorEastAsia" w:cstheme="minorEastAsia"/>
          <w:b/>
          <w:bCs/>
          <w:sz w:val="20"/>
          <w:szCs w:val="18"/>
          <w:lang w:val="en-US" w:eastAsia="zh-CN"/>
        </w:rPr>
        <w:t>图2 自贡市公交集团有限责任公司2023年收入明细表</w:t>
      </w:r>
    </w:p>
    <w:p>
      <w:pPr>
        <w:keepNext w:val="0"/>
        <w:keepLines w:val="0"/>
        <w:pageBreakBefore w:val="0"/>
        <w:widowControl/>
        <w:kinsoku/>
        <w:wordWrap/>
        <w:overflowPunct/>
        <w:topLinePunct w:val="0"/>
        <w:autoSpaceDE/>
        <w:autoSpaceDN/>
        <w:bidi w:val="0"/>
        <w:adjustRightInd/>
        <w:snapToGrid/>
        <w:spacing w:after="0" w:line="240" w:lineRule="auto"/>
        <w:ind w:left="0" w:leftChars="0" w:firstLine="0" w:firstLineChars="0"/>
        <w:jc w:val="center"/>
        <w:textAlignment w:val="auto"/>
        <w:rPr>
          <w:rFonts w:hint="eastAsia" w:asciiTheme="minorEastAsia" w:hAnsiTheme="minorEastAsia" w:eastAsiaTheme="minorEastAsia" w:cstheme="minorEastAsia"/>
          <w:b/>
          <w:bCs/>
          <w:sz w:val="20"/>
          <w:szCs w:val="18"/>
          <w:lang w:val="en-US" w:eastAsia="zh-CN"/>
        </w:rPr>
      </w:pPr>
      <w:r>
        <w:drawing>
          <wp:inline distT="0" distB="0" distL="114300" distR="114300">
            <wp:extent cx="3560445" cy="4773930"/>
            <wp:effectExtent l="0" t="0" r="1905" b="762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10"/>
                    <a:srcRect r="32323" b="35296"/>
                    <a:stretch>
                      <a:fillRect/>
                    </a:stretch>
                  </pic:blipFill>
                  <pic:spPr>
                    <a:xfrm>
                      <a:off x="0" y="0"/>
                      <a:ext cx="3560445" cy="4773930"/>
                    </a:xfrm>
                    <a:prstGeom prst="rect">
                      <a:avLst/>
                    </a:prstGeom>
                    <a:noFill/>
                    <a:ln>
                      <a:noFill/>
                    </a:ln>
                  </pic:spPr>
                </pic:pic>
              </a:graphicData>
            </a:graphic>
          </wp:inline>
        </w:drawing>
      </w:r>
    </w:p>
    <w:p>
      <w:pPr>
        <w:keepNext w:val="0"/>
        <w:keepLines w:val="0"/>
        <w:pageBreakBefore w:val="0"/>
        <w:widowControl/>
        <w:kinsoku/>
        <w:wordWrap/>
        <w:overflowPunct/>
        <w:topLinePunct w:val="0"/>
        <w:autoSpaceDE/>
        <w:autoSpaceDN/>
        <w:bidi w:val="0"/>
        <w:adjustRightInd/>
        <w:snapToGrid/>
        <w:spacing w:after="0" w:line="240" w:lineRule="auto"/>
        <w:ind w:left="0" w:leftChars="0" w:firstLineChars="200"/>
        <w:jc w:val="center"/>
        <w:textAlignment w:val="auto"/>
        <w:rPr>
          <w:rFonts w:hint="eastAsia"/>
          <w:lang w:val="en-US" w:eastAsia="zh-CN"/>
        </w:rPr>
      </w:pPr>
      <w:r>
        <w:rPr>
          <w:rFonts w:hint="eastAsia" w:asciiTheme="minorEastAsia" w:hAnsiTheme="minorEastAsia" w:eastAsiaTheme="minorEastAsia" w:cstheme="minorEastAsia"/>
          <w:b/>
          <w:bCs/>
          <w:sz w:val="20"/>
          <w:szCs w:val="18"/>
          <w:lang w:val="en-US" w:eastAsia="zh-CN"/>
        </w:rPr>
        <w:t>图3 自贡市公交集团有限责任公司2024年收入明细表</w:t>
      </w:r>
    </w:p>
    <w:p>
      <w:pPr>
        <w:autoSpaceDE w:val="0"/>
        <w:autoSpaceDN w:val="0"/>
        <w:bidi w:val="0"/>
        <w:ind w:firstLine="880"/>
        <w:rPr>
          <w:rFonts w:hint="default" w:ascii="Times New Roman" w:hAnsi="Times New Roman" w:cs="宋体"/>
          <w:kern w:val="0"/>
          <w:szCs w:val="22"/>
          <w:lang w:val="en-US" w:bidi="zh-CN"/>
        </w:rPr>
      </w:pPr>
    </w:p>
    <w:p>
      <w:pPr>
        <w:bidi w:val="0"/>
        <w:rPr>
          <w:rFonts w:hint="eastAsia"/>
          <w:lang w:eastAsia="zh-CN"/>
        </w:rPr>
        <w:sectPr>
          <w:headerReference r:id="rId5" w:type="default"/>
          <w:footerReference r:id="rId6" w:type="default"/>
          <w:pgSz w:w="11910" w:h="16840"/>
          <w:pgMar w:top="1440" w:right="1800" w:bottom="1440" w:left="1800" w:header="0" w:footer="1010" w:gutter="0"/>
          <w:cols w:space="720" w:num="1"/>
        </w:sectPr>
      </w:pPr>
      <w:r>
        <w:rPr>
          <w:rFonts w:hint="eastAsia"/>
          <w:b/>
          <w:bCs/>
        </w:rPr>
        <w:t>综上，根据上述分析可对本项目债权期限内，项目收入进行测算，项目运营期总收入为</w:t>
      </w:r>
      <w:r>
        <w:rPr>
          <w:rFonts w:hint="default" w:ascii="Times New Roman" w:hAnsi="Times New Roman" w:cs="Times New Roman"/>
          <w:b/>
          <w:bCs/>
        </w:rPr>
        <w:t>118051.74</w:t>
      </w:r>
      <w:r>
        <w:rPr>
          <w:rFonts w:hint="eastAsia"/>
          <w:b/>
          <w:bCs/>
        </w:rPr>
        <w:t>万元</w:t>
      </w:r>
      <w:r>
        <w:rPr>
          <w:rFonts w:hint="eastAsia" w:ascii="仿宋" w:hAnsi="仿宋" w:eastAsia="仿宋" w:cs="仿宋"/>
          <w:b/>
          <w:bCs/>
          <w:lang w:eastAsia="zh-CN"/>
        </w:rPr>
        <w:t>。</w:t>
      </w:r>
    </w:p>
    <w:p>
      <w:pPr>
        <w:bidi w:val="0"/>
        <w:jc w:val="center"/>
        <w:rPr>
          <w:rFonts w:hint="eastAsia"/>
          <w:b/>
          <w:bCs/>
          <w:sz w:val="24"/>
          <w:szCs w:val="21"/>
          <w:highlight w:val="none"/>
          <w:lang w:val="en-US" w:eastAsia="zh-CN"/>
        </w:rPr>
      </w:pPr>
      <w:r>
        <w:rPr>
          <w:rFonts w:hint="eastAsia"/>
          <w:b/>
          <w:bCs/>
          <w:sz w:val="24"/>
          <w:szCs w:val="21"/>
          <w:highlight w:val="none"/>
          <w:lang w:val="en-US" w:eastAsia="zh-CN"/>
        </w:rPr>
        <w:t>项目收入估算表</w:t>
      </w:r>
    </w:p>
    <w:p>
      <w:pPr>
        <w:bidi w:val="0"/>
        <w:jc w:val="right"/>
        <w:rPr>
          <w:rFonts w:hint="eastAsia"/>
          <w:b/>
          <w:bCs/>
          <w:sz w:val="24"/>
          <w:szCs w:val="21"/>
          <w:highlight w:val="none"/>
          <w:lang w:val="en-US" w:eastAsia="zh-CN"/>
        </w:rPr>
      </w:pPr>
      <w:r>
        <w:rPr>
          <w:rFonts w:hint="eastAsia"/>
          <w:b/>
          <w:bCs/>
          <w:sz w:val="24"/>
          <w:szCs w:val="21"/>
          <w:highlight w:val="none"/>
          <w:lang w:val="en-US" w:eastAsia="zh-CN"/>
        </w:rPr>
        <w:t>单位：万元</w:t>
      </w:r>
    </w:p>
    <w:p>
      <w:pPr>
        <w:keepNext w:val="0"/>
        <w:keepLines w:val="0"/>
        <w:pageBreakBefore w:val="0"/>
        <w:widowControl w:val="0"/>
        <w:kinsoku/>
        <w:wordWrap/>
        <w:overflowPunct/>
        <w:topLinePunct w:val="0"/>
        <w:autoSpaceDE/>
        <w:autoSpaceDN/>
        <w:bidi w:val="0"/>
        <w:adjustRightInd/>
        <w:snapToGrid/>
        <w:spacing w:line="0" w:lineRule="atLeast"/>
        <w:jc w:val="right"/>
        <w:textAlignment w:val="auto"/>
        <w:rPr>
          <w:rFonts w:hint="default" w:ascii="Times New Roman" w:hAnsi="Times New Roman" w:eastAsia="仿宋" w:cs="Times New Roman"/>
          <w:b/>
          <w:bCs/>
          <w:lang w:eastAsia="zh-CN"/>
        </w:rPr>
      </w:pPr>
    </w:p>
    <w:tbl>
      <w:tblPr>
        <w:tblStyle w:val="46"/>
        <w:tblW w:w="4998"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445"/>
        <w:gridCol w:w="675"/>
        <w:gridCol w:w="740"/>
        <w:gridCol w:w="740"/>
        <w:gridCol w:w="740"/>
        <w:gridCol w:w="740"/>
        <w:gridCol w:w="740"/>
        <w:gridCol w:w="740"/>
        <w:gridCol w:w="740"/>
        <w:gridCol w:w="740"/>
        <w:gridCol w:w="740"/>
        <w:gridCol w:w="7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9" w:hRule="atLeast"/>
          <w:jc w:val="center"/>
        </w:trPr>
        <w:tc>
          <w:tcPr>
            <w:tcW w:w="260" w:type="pct"/>
            <w:tcBorders>
              <w:top w:val="single" w:color="000000" w:sz="8" w:space="0"/>
              <w:left w:val="single" w:color="000000" w:sz="8" w:space="0"/>
              <w:bottom w:val="single" w:color="000000" w:sz="4" w:space="0"/>
              <w:right w:val="single" w:color="000000" w:sz="4" w:space="0"/>
            </w:tcBorders>
            <w:shd w:val="clear" w:color="auto" w:fill="auto"/>
            <w:noWrap/>
            <w:vAlign w:val="center"/>
          </w:tcPr>
          <w:p>
            <w:pPr>
              <w:pStyle w:val="60"/>
              <w:bidi w:val="0"/>
              <w:rPr>
                <w:sz w:val="13"/>
                <w:szCs w:val="20"/>
              </w:rPr>
            </w:pPr>
            <w:r>
              <w:rPr>
                <w:rFonts w:hint="eastAsia"/>
                <w:sz w:val="13"/>
                <w:szCs w:val="20"/>
                <w:lang w:val="en-US" w:eastAsia="zh-CN"/>
              </w:rPr>
              <w:t>序号</w:t>
            </w:r>
          </w:p>
        </w:tc>
        <w:tc>
          <w:tcPr>
            <w:tcW w:w="480"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项目</w:t>
            </w:r>
          </w:p>
        </w:tc>
        <w:tc>
          <w:tcPr>
            <w:tcW w:w="426"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合计</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第2年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第3年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第4年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第5年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第6年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第7年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第8年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第9年</w:t>
            </w:r>
          </w:p>
        </w:tc>
        <w:tc>
          <w:tcPr>
            <w:tcW w:w="425" w:type="pct"/>
            <w:tcBorders>
              <w:top w:val="single" w:color="000000" w:sz="8"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7" w:hRule="atLeast"/>
          <w:jc w:val="center"/>
        </w:trPr>
        <w:tc>
          <w:tcPr>
            <w:tcW w:w="260" w:type="pct"/>
            <w:tcBorders>
              <w:top w:val="single" w:color="000000" w:sz="4" w:space="0"/>
              <w:left w:val="single" w:color="000000" w:sz="8"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1</w:t>
            </w:r>
          </w:p>
        </w:tc>
        <w:tc>
          <w:tcPr>
            <w:tcW w:w="4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营业收入</w:t>
            </w:r>
          </w:p>
        </w:tc>
        <w:tc>
          <w:tcPr>
            <w:tcW w:w="4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118,051.74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13,283.88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13,241.82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13,199.89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13,158.09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13,116.42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13,074.88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13,033.48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12,992.21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12,951.07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7" w:hRule="atLeast"/>
          <w:jc w:val="center"/>
        </w:trPr>
        <w:tc>
          <w:tcPr>
            <w:tcW w:w="260" w:type="pct"/>
            <w:tcBorders>
              <w:top w:val="single" w:color="000000" w:sz="4" w:space="0"/>
              <w:left w:val="single" w:color="000000" w:sz="8"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1.1</w:t>
            </w:r>
          </w:p>
        </w:tc>
        <w:tc>
          <w:tcPr>
            <w:tcW w:w="4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服务人次</w:t>
            </w:r>
          </w:p>
        </w:tc>
        <w:tc>
          <w:tcPr>
            <w:tcW w:w="4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94,884,891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94,584,422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94,284,905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93,986,336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93,688,713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93,392,032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93,096,290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92,801,485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92,507,614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9" w:hRule="atLeast"/>
          <w:jc w:val="center"/>
        </w:trPr>
        <w:tc>
          <w:tcPr>
            <w:tcW w:w="260" w:type="pct"/>
            <w:tcBorders>
              <w:top w:val="single" w:color="000000" w:sz="4" w:space="0"/>
              <w:left w:val="single" w:color="000000" w:sz="8"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1.2</w:t>
            </w:r>
          </w:p>
        </w:tc>
        <w:tc>
          <w:tcPr>
            <w:tcW w:w="4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服务价格</w:t>
            </w:r>
          </w:p>
        </w:tc>
        <w:tc>
          <w:tcPr>
            <w:tcW w:w="426"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c>
          <w:tcPr>
            <w:tcW w:w="425"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sz w:val="13"/>
                <w:szCs w:val="20"/>
              </w:rPr>
            </w:pPr>
            <w:r>
              <w:rPr>
                <w:rFonts w:hint="eastAsia"/>
                <w:sz w:val="13"/>
                <w:szCs w:val="20"/>
                <w:lang w:val="en-US" w:eastAsia="zh-CN"/>
              </w:rPr>
              <w:t xml:space="preserve">1.40 </w:t>
            </w:r>
          </w:p>
        </w:tc>
      </w:tr>
    </w:tbl>
    <w:p>
      <w:pPr>
        <w:ind w:left="0" w:leftChars="0" w:firstLine="0" w:firstLineChars="0"/>
        <w:rPr>
          <w:rFonts w:hint="eastAsia"/>
          <w:color w:val="auto"/>
          <w:sz w:val="21"/>
          <w:szCs w:val="21"/>
          <w:highlight w:val="none"/>
          <w:lang w:val="en-US" w:eastAsia="zh-CN"/>
        </w:rPr>
      </w:pPr>
    </w:p>
    <w:p>
      <w:pPr>
        <w:bidi w:val="0"/>
        <w:ind w:left="0" w:leftChars="0" w:firstLine="0" w:firstLineChars="0"/>
        <w:rPr>
          <w:rFonts w:hint="eastAsia"/>
          <w:lang w:eastAsia="zh-CN"/>
        </w:rPr>
      </w:pPr>
    </w:p>
    <w:p>
      <w:pPr>
        <w:tabs>
          <w:tab w:val="left" w:pos="3552"/>
        </w:tabs>
        <w:ind w:firstLine="643"/>
        <w:outlineLvl w:val="2"/>
        <w:rPr>
          <w:rFonts w:hint="eastAsia"/>
          <w:b/>
          <w:bCs/>
        </w:rPr>
      </w:pPr>
      <w:bookmarkStart w:id="159" w:name="_Toc49947255"/>
      <w:bookmarkStart w:id="160" w:name="_Toc129257218"/>
      <w:bookmarkStart w:id="161" w:name="_Toc49947169"/>
      <w:r>
        <w:rPr>
          <w:rFonts w:hint="eastAsia"/>
          <w:b/>
          <w:bCs/>
        </w:rPr>
        <w:t>2.项目运营成本</w:t>
      </w:r>
      <w:bookmarkEnd w:id="159"/>
      <w:bookmarkEnd w:id="160"/>
      <w:bookmarkEnd w:id="161"/>
    </w:p>
    <w:p>
      <w:pPr>
        <w:bidi w:val="0"/>
        <w:rPr>
          <w:rFonts w:hint="default"/>
          <w:lang w:val="en-US"/>
        </w:rPr>
      </w:pPr>
      <w:r>
        <w:rPr>
          <w:rFonts w:hint="default"/>
          <w:lang w:val="en-US" w:eastAsia="zh-CN"/>
        </w:rPr>
        <w:t>项目经营成本包括燃料及动力、其他费用、修理费、保险费。</w:t>
      </w:r>
    </w:p>
    <w:p>
      <w:pPr>
        <w:bidi w:val="0"/>
        <w:rPr>
          <w:rFonts w:hint="default"/>
          <w:lang w:val="en-US"/>
        </w:rPr>
      </w:pPr>
      <w:r>
        <w:rPr>
          <w:rFonts w:hint="default"/>
          <w:lang w:val="en-US"/>
        </w:rPr>
        <w:t>①燃料及动力</w:t>
      </w:r>
    </w:p>
    <w:p>
      <w:pPr>
        <w:bidi w:val="0"/>
        <w:rPr>
          <w:rFonts w:hint="default"/>
          <w:lang w:val="en-US" w:eastAsia="zh-CN"/>
        </w:rPr>
      </w:pPr>
      <w:r>
        <w:rPr>
          <w:rFonts w:hint="default"/>
          <w:lang w:val="en-US"/>
        </w:rPr>
        <w:t>根据自贡市公交集团有限责任公司的2022-2024年财务报表，近三年燃料及动力费用平均占营业收入的27.64%。参考实际使用情况，纯电公交车的能耗为70kWh/100km、天然气公交车能耗为53m³/100km，根据相关文件及充电服务平台APP价格，天然气价格为3.28元/m³，见下图</w:t>
      </w:r>
      <w:r>
        <w:rPr>
          <w:rFonts w:hint="default"/>
          <w:lang w:val="en-US" w:eastAsia="zh-CN"/>
        </w:rPr>
        <w:t>。</w:t>
      </w:r>
    </w:p>
    <w:p>
      <w:pPr>
        <w:pStyle w:val="2"/>
        <w:jc w:val="center"/>
        <w:rPr>
          <w:rFonts w:hint="default" w:ascii="Times New Roman" w:hAnsi="Times New Roman" w:cs="Times New Roman"/>
          <w:lang w:val="en-US" w:eastAsia="zh-CN"/>
        </w:rPr>
      </w:pPr>
      <w:r>
        <w:rPr>
          <w:rFonts w:hint="default" w:ascii="Times New Roman" w:hAnsi="Times New Roman" w:cs="Times New Roman"/>
          <w:lang w:val="en-US" w:eastAsia="zh-CN"/>
        </w:rPr>
        <w:drawing>
          <wp:inline distT="0" distB="0" distL="114300" distR="114300">
            <wp:extent cx="4543425" cy="2751455"/>
            <wp:effectExtent l="0" t="0" r="9525" b="10795"/>
            <wp:docPr id="19" name="图片 19" descr="022fba340bea572978368e2ebd7cc3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022fba340bea572978368e2ebd7cc3c4"/>
                    <pic:cNvPicPr>
                      <a:picLocks noChangeAspect="1"/>
                    </pic:cNvPicPr>
                  </pic:nvPicPr>
                  <pic:blipFill>
                    <a:blip r:embed="rId11"/>
                    <a:stretch>
                      <a:fillRect/>
                    </a:stretch>
                  </pic:blipFill>
                  <pic:spPr>
                    <a:xfrm>
                      <a:off x="0" y="0"/>
                      <a:ext cx="4543425" cy="2751455"/>
                    </a:xfrm>
                    <a:prstGeom prst="rect">
                      <a:avLst/>
                    </a:prstGeom>
                  </pic:spPr>
                </pic:pic>
              </a:graphicData>
            </a:graphic>
          </wp:inline>
        </w:drawing>
      </w:r>
    </w:p>
    <w:p>
      <w:pPr>
        <w:pStyle w:val="2"/>
        <w:jc w:val="center"/>
        <w:rPr>
          <w:rFonts w:hint="default" w:ascii="Times New Roman" w:hAnsi="Times New Roman" w:cs="Times New Roman"/>
          <w:lang w:val="en-US" w:eastAsia="zh-CN"/>
        </w:rPr>
      </w:pPr>
      <w:r>
        <w:rPr>
          <w:rFonts w:hint="default" w:ascii="Times New Roman" w:hAnsi="Times New Roman" w:cs="Times New Roman"/>
          <w:lang w:val="en-US" w:eastAsia="zh-CN"/>
        </w:rPr>
        <w:drawing>
          <wp:inline distT="0" distB="0" distL="114300" distR="114300">
            <wp:extent cx="2202180" cy="4143375"/>
            <wp:effectExtent l="0" t="0" r="7620" b="9525"/>
            <wp:docPr id="22" name="图片 22" descr="8135988e92dd913791cbc1cb8cc2c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8135988e92dd913791cbc1cb8cc2c209"/>
                    <pic:cNvPicPr>
                      <a:picLocks noChangeAspect="1"/>
                    </pic:cNvPicPr>
                  </pic:nvPicPr>
                  <pic:blipFill>
                    <a:blip r:embed="rId12"/>
                    <a:stretch>
                      <a:fillRect/>
                    </a:stretch>
                  </pic:blipFill>
                  <pic:spPr>
                    <a:xfrm>
                      <a:off x="0" y="0"/>
                      <a:ext cx="2202180" cy="4143375"/>
                    </a:xfrm>
                    <a:prstGeom prst="rect">
                      <a:avLst/>
                    </a:prstGeom>
                  </pic:spPr>
                </pic:pic>
              </a:graphicData>
            </a:graphic>
          </wp:inline>
        </w:drawing>
      </w:r>
      <w:r>
        <w:rPr>
          <w:rFonts w:hint="default" w:ascii="Times New Roman" w:hAnsi="Times New Roman" w:cs="Times New Roman"/>
          <w:lang w:val="en-US" w:eastAsia="zh-CN"/>
        </w:rPr>
        <w:drawing>
          <wp:inline distT="0" distB="0" distL="114300" distR="114300">
            <wp:extent cx="2204085" cy="4147185"/>
            <wp:effectExtent l="0" t="0" r="5715" b="5715"/>
            <wp:docPr id="25" name="图片 25" descr="986d3dd0083419c3ad067d874ca18b8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986d3dd0083419c3ad067d874ca18b8f"/>
                    <pic:cNvPicPr>
                      <a:picLocks noChangeAspect="1"/>
                    </pic:cNvPicPr>
                  </pic:nvPicPr>
                  <pic:blipFill>
                    <a:blip r:embed="rId13"/>
                    <a:stretch>
                      <a:fillRect/>
                    </a:stretch>
                  </pic:blipFill>
                  <pic:spPr>
                    <a:xfrm>
                      <a:off x="0" y="0"/>
                      <a:ext cx="2204085" cy="4147185"/>
                    </a:xfrm>
                    <a:prstGeom prst="rect">
                      <a:avLst/>
                    </a:prstGeom>
                  </pic:spPr>
                </pic:pic>
              </a:graphicData>
            </a:graphic>
          </wp:inline>
        </w:drawing>
      </w:r>
    </w:p>
    <w:p>
      <w:pPr>
        <w:pStyle w:val="2"/>
        <w:ind w:left="0" w:leftChars="0" w:firstLine="0" w:firstLineChars="0"/>
        <w:jc w:val="center"/>
        <w:rPr>
          <w:rFonts w:hint="default"/>
          <w:lang w:val="en-US" w:eastAsia="zh-CN"/>
        </w:rPr>
      </w:pPr>
      <w:r>
        <w:rPr>
          <w:rFonts w:hint="eastAsia" w:asciiTheme="minorEastAsia" w:hAnsiTheme="minorEastAsia" w:eastAsiaTheme="minorEastAsia" w:cstheme="minorEastAsia"/>
          <w:b/>
          <w:bCs/>
          <w:sz w:val="20"/>
          <w:szCs w:val="18"/>
          <w:lang w:val="en-US" w:eastAsia="zh-CN"/>
        </w:rPr>
        <w:t>图4 项目燃料动力价格</w:t>
      </w:r>
    </w:p>
    <w:p>
      <w:pPr>
        <w:bidi w:val="0"/>
        <w:rPr>
          <w:rFonts w:hint="eastAsia"/>
          <w:lang w:val="en-US" w:eastAsia="zh-CN"/>
        </w:rPr>
      </w:pPr>
      <w:r>
        <w:rPr>
          <w:rFonts w:hint="eastAsia"/>
          <w:lang w:val="en-US" w:eastAsia="zh-CN"/>
        </w:rPr>
        <w:t>由于纯电公交车于夜间充电，充电价格为0.7965元/kWh，计算得纯电公交相比天然气公交燃料及动力费用降低约69.01%。</w:t>
      </w:r>
    </w:p>
    <w:p>
      <w:pPr>
        <w:bidi w:val="0"/>
        <w:rPr>
          <w:rFonts w:hint="eastAsia"/>
          <w:lang w:val="en-US" w:eastAsia="zh-CN"/>
        </w:rPr>
      </w:pPr>
      <w:r>
        <w:rPr>
          <w:rFonts w:hint="eastAsia"/>
          <w:lang w:val="en-US" w:eastAsia="zh-CN"/>
        </w:rPr>
        <w:t>27.64%×（1-69.01%）=8.56%</w:t>
      </w:r>
    </w:p>
    <w:p>
      <w:pPr>
        <w:bidi w:val="0"/>
        <w:rPr>
          <w:rFonts w:hint="eastAsia"/>
          <w:lang w:val="en-US" w:eastAsia="zh-CN"/>
        </w:rPr>
      </w:pPr>
      <w:r>
        <w:rPr>
          <w:rFonts w:hint="eastAsia"/>
          <w:lang w:val="en-US" w:eastAsia="zh-CN"/>
        </w:rPr>
        <w:t>因此，本项目燃料动力费按营业收入的8.56%计取。</w:t>
      </w:r>
    </w:p>
    <w:p>
      <w:pPr>
        <w:bidi w:val="0"/>
        <w:rPr>
          <w:rFonts w:hint="eastAsia"/>
          <w:lang w:val="en-US" w:eastAsia="zh-CN"/>
        </w:rPr>
      </w:pPr>
      <w:r>
        <w:rPr>
          <w:rFonts w:hint="eastAsia"/>
          <w:lang w:val="en-US" w:eastAsia="zh-CN"/>
        </w:rPr>
        <w:t>②修理费用</w:t>
      </w:r>
    </w:p>
    <w:p>
      <w:pPr>
        <w:bidi w:val="0"/>
        <w:rPr>
          <w:rFonts w:hint="eastAsia"/>
          <w:lang w:val="en-US" w:eastAsia="zh-CN"/>
        </w:rPr>
      </w:pPr>
      <w:r>
        <w:rPr>
          <w:rFonts w:hint="eastAsia"/>
          <w:lang w:val="en-US" w:eastAsia="zh-CN"/>
        </w:rPr>
        <w:t>按照年折旧费用的30%计取</w:t>
      </w:r>
    </w:p>
    <w:p>
      <w:pPr>
        <w:bidi w:val="0"/>
        <w:rPr>
          <w:rFonts w:hint="eastAsia"/>
          <w:lang w:val="en-US" w:eastAsia="zh-CN"/>
        </w:rPr>
      </w:pPr>
      <w:r>
        <w:rPr>
          <w:rFonts w:hint="eastAsia"/>
          <w:lang w:val="en-US" w:eastAsia="zh-CN"/>
        </w:rPr>
        <w:t>③修理费用</w:t>
      </w:r>
    </w:p>
    <w:p>
      <w:pPr>
        <w:bidi w:val="0"/>
        <w:rPr>
          <w:rFonts w:hint="eastAsia"/>
          <w:lang w:val="en-US" w:eastAsia="zh-CN"/>
        </w:rPr>
      </w:pPr>
      <w:r>
        <w:rPr>
          <w:rFonts w:hint="eastAsia"/>
          <w:lang w:val="en-US" w:eastAsia="zh-CN"/>
        </w:rPr>
        <w:t>根据自贡市公交集团有限责任公司的2022-2024年财务报表，近三年其他费用（安全经费等）平均占营业收入的15.40%。因此其他费按营业收入的15.40%计取。</w:t>
      </w:r>
    </w:p>
    <w:p>
      <w:pPr>
        <w:bidi w:val="0"/>
        <w:rPr>
          <w:rFonts w:hint="eastAsia"/>
          <w:lang w:val="en-US" w:eastAsia="zh-CN"/>
        </w:rPr>
      </w:pPr>
      <w:r>
        <w:rPr>
          <w:rFonts w:hint="eastAsia"/>
          <w:lang w:val="en-US" w:eastAsia="zh-CN"/>
        </w:rPr>
        <w:t>④保险费</w:t>
      </w:r>
    </w:p>
    <w:p>
      <w:pPr>
        <w:bidi w:val="0"/>
        <w:rPr>
          <w:rFonts w:hint="eastAsia"/>
          <w:lang w:val="en-US" w:eastAsia="zh-CN"/>
        </w:rPr>
      </w:pPr>
      <w:r>
        <w:rPr>
          <w:rFonts w:hint="eastAsia"/>
          <w:lang w:val="en-US" w:eastAsia="zh-CN"/>
        </w:rPr>
        <w:t>根据自贡市公交集团有限责任公司的2022-2024年财务报表，近三年保险费平均占营业收入的3.23%。因此保险费按营业收入的3.23%计取。</w:t>
      </w:r>
    </w:p>
    <w:p>
      <w:pPr>
        <w:bidi w:val="0"/>
        <w:rPr>
          <w:rFonts w:hint="eastAsia"/>
          <w:lang w:val="en-US" w:eastAsia="zh-CN"/>
        </w:rPr>
      </w:pPr>
      <w:r>
        <w:rPr>
          <w:rFonts w:hint="eastAsia"/>
          <w:lang w:val="en-US" w:eastAsia="zh-CN"/>
        </w:rPr>
        <w:t>（2）折旧与摊销</w:t>
      </w:r>
    </w:p>
    <w:p>
      <w:pPr>
        <w:bidi w:val="0"/>
        <w:rPr>
          <w:rFonts w:hint="eastAsia"/>
          <w:lang w:val="en-US" w:eastAsia="zh-CN"/>
        </w:rPr>
      </w:pPr>
      <w:r>
        <w:rPr>
          <w:rFonts w:hint="eastAsia"/>
          <w:lang w:val="en-US" w:eastAsia="zh-CN"/>
        </w:rPr>
        <w:t>固定资产折旧按项目工程建设相关费用计算，考虑纯电车辆动力电池可回收的特殊性，项目按10年折旧，残值率为10%计算。</w:t>
      </w:r>
    </w:p>
    <w:p>
      <w:pPr>
        <w:bidi w:val="0"/>
        <w:rPr>
          <w:rFonts w:hint="eastAsia"/>
          <w:lang w:val="en-US" w:eastAsia="zh-CN"/>
        </w:rPr>
      </w:pPr>
      <w:r>
        <w:rPr>
          <w:rFonts w:hint="eastAsia"/>
          <w:lang w:val="en-US" w:eastAsia="zh-CN"/>
        </w:rPr>
        <w:t>（3）财务费用</w:t>
      </w:r>
    </w:p>
    <w:p>
      <w:pPr>
        <w:bidi w:val="0"/>
        <w:rPr>
          <w:rFonts w:hint="eastAsia"/>
          <w:lang w:val="en-US" w:eastAsia="zh-CN"/>
        </w:rPr>
      </w:pPr>
      <w:r>
        <w:rPr>
          <w:rFonts w:hint="eastAsia"/>
          <w:lang w:val="en-US" w:eastAsia="zh-CN"/>
        </w:rPr>
        <w:t>项目财务费用即专项债券融资利息，其中，项目专项债券拟发行10年期债券，利率3.2%，在建设期中只付息，不还本。运营期中间只付息，不还本，所有借款都在计算期最后一年还。</w:t>
      </w:r>
    </w:p>
    <w:p>
      <w:pPr>
        <w:bidi w:val="0"/>
        <w:rPr>
          <w:rFonts w:hint="eastAsia"/>
          <w:b/>
          <w:bCs/>
          <w:highlight w:val="none"/>
        </w:rPr>
        <w:sectPr>
          <w:pgSz w:w="11910" w:h="16840"/>
          <w:pgMar w:top="1440" w:right="1803" w:bottom="1440" w:left="1803" w:header="0" w:footer="1009" w:gutter="0"/>
          <w:cols w:space="0" w:num="1"/>
          <w:rtlGutter w:val="0"/>
          <w:docGrid w:linePitch="0" w:charSpace="0"/>
        </w:sectPr>
      </w:pPr>
      <w:r>
        <w:rPr>
          <w:rFonts w:hint="eastAsia"/>
          <w:lang w:val="en-US" w:eastAsia="zh-CN"/>
        </w:rPr>
        <w:t>综上所述，经计算可知本项目预测期经营成本为56759.27万元，总成本费用为98619.93万元</w:t>
      </w:r>
      <w:r>
        <w:rPr>
          <w:rFonts w:hint="eastAsia"/>
          <w:highlight w:val="none"/>
        </w:rPr>
        <w:t>。</w:t>
      </w:r>
    </w:p>
    <w:p>
      <w:pPr>
        <w:ind w:firstLine="0" w:firstLineChars="0"/>
        <w:jc w:val="center"/>
        <w:rPr>
          <w:rFonts w:ascii="仿宋" w:hAnsi="仿宋" w:cs="仿宋"/>
          <w:b/>
          <w:bCs/>
          <w:sz w:val="24"/>
          <w:szCs w:val="24"/>
          <w:highlight w:val="none"/>
        </w:rPr>
      </w:pPr>
      <w:r>
        <w:rPr>
          <w:rFonts w:hint="eastAsia" w:ascii="仿宋" w:hAnsi="仿宋" w:cs="仿宋"/>
          <w:b/>
          <w:bCs/>
          <w:sz w:val="24"/>
          <w:szCs w:val="24"/>
          <w:highlight w:val="none"/>
        </w:rPr>
        <w:t>表</w:t>
      </w:r>
      <w:r>
        <w:rPr>
          <w:rFonts w:hint="eastAsia" w:ascii="仿宋" w:hAnsi="仿宋" w:cs="仿宋"/>
          <w:b/>
          <w:bCs/>
          <w:sz w:val="24"/>
          <w:szCs w:val="24"/>
          <w:highlight w:val="none"/>
          <w:lang w:val="en-US" w:eastAsia="zh-CN"/>
        </w:rPr>
        <w:t>3</w:t>
      </w:r>
      <w:r>
        <w:rPr>
          <w:rFonts w:hint="eastAsia" w:ascii="仿宋" w:hAnsi="仿宋" w:cs="仿宋"/>
          <w:b/>
          <w:bCs/>
          <w:sz w:val="24"/>
          <w:szCs w:val="24"/>
          <w:highlight w:val="none"/>
        </w:rPr>
        <w:t>成本费用测算表</w:t>
      </w:r>
    </w:p>
    <w:p>
      <w:pPr>
        <w:spacing w:before="0" w:after="0" w:line="0" w:lineRule="atLeast"/>
        <w:ind w:firstLine="0" w:firstLineChars="0"/>
        <w:jc w:val="right"/>
        <w:rPr>
          <w:rFonts w:ascii="仿宋" w:hAnsi="仿宋" w:cs="仿宋"/>
          <w:b/>
          <w:bCs/>
          <w:sz w:val="24"/>
          <w:szCs w:val="22"/>
          <w:highlight w:val="none"/>
        </w:rPr>
      </w:pPr>
      <w:r>
        <w:rPr>
          <w:rFonts w:hint="eastAsia" w:ascii="仿宋" w:hAnsi="仿宋" w:cs="仿宋"/>
          <w:b/>
          <w:bCs/>
          <w:sz w:val="24"/>
          <w:szCs w:val="22"/>
          <w:highlight w:val="none"/>
        </w:rPr>
        <w:t>单位：万元</w:t>
      </w:r>
    </w:p>
    <w:tbl>
      <w:tblPr>
        <w:tblStyle w:val="46"/>
        <w:tblW w:w="4997"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57"/>
        <w:gridCol w:w="1761"/>
        <w:gridCol w:w="1134"/>
        <w:gridCol w:w="1135"/>
        <w:gridCol w:w="1135"/>
        <w:gridCol w:w="1135"/>
        <w:gridCol w:w="1135"/>
        <w:gridCol w:w="1135"/>
        <w:gridCol w:w="1135"/>
        <w:gridCol w:w="1135"/>
        <w:gridCol w:w="1135"/>
        <w:gridCol w:w="11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pPr>
            <w:r>
              <w:rPr>
                <w:rFonts w:hint="eastAsia"/>
                <w:lang w:val="en-US" w:eastAsia="zh-CN"/>
              </w:rPr>
              <w:t>序号</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项目</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合计</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第2年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第3年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第4年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第5年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第6年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第7年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第8年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第9年</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一</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经营成本</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56,759.27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6,386.89</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6,366.67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6,346.51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6,326.41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6,306.37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6,286.40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6,266.50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6,246.65</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6,226.87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燃料及动力</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10,105.23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1,137.10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1,133.50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1,129.91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1,126.33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1,122.77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1,119.21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1,115.67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1,112.13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1,108.61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修理费</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24,661.01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2,775.00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2,766.22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2,757.46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2,748.72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2,740.02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2,731.34</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2,722.69</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2,714.07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2,705.48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3</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其他费用</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18,179.97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2,045.72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2,039.24</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2,032.78</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2,026.35</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2,019.93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2,013.53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2,007.16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2,000.80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1,994.46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保险费</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3,813.07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429.07</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427.71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426.36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425.01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423.66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422.32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420.98</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419.65</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418.32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二</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折旧摊销费</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26,503.20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固定资产折旧</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26,503.20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2,944.80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2</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无形资产摊销</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三</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财务费用</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8,179.20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908.80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67"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四</w:t>
            </w: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相关税费</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7,178.26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807.74</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805.18</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802.63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800.09</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797.56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795.03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792.52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790.01</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787.50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9" w:hRule="atLeast"/>
          <w:jc w:val="center"/>
        </w:trPr>
        <w:tc>
          <w:tcPr>
            <w:tcW w:w="37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p>
        </w:tc>
        <w:tc>
          <w:tcPr>
            <w:tcW w:w="62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总成本费用</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98,619.93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11,048.23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11,025.45</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11,002.74</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10,980.10</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10,957.53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10,935.03</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10,912.62</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10,890.26</w:t>
            </w:r>
          </w:p>
        </w:tc>
        <w:tc>
          <w:tcPr>
            <w:tcW w:w="40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10,867.97</w:t>
            </w:r>
          </w:p>
        </w:tc>
      </w:tr>
    </w:tbl>
    <w:p>
      <w:pPr>
        <w:keepNext w:val="0"/>
        <w:keepLines w:val="0"/>
        <w:pageBreakBefore w:val="0"/>
        <w:widowControl w:val="0"/>
        <w:kinsoku/>
        <w:wordWrap/>
        <w:overflowPunct/>
        <w:topLinePunct w:val="0"/>
        <w:autoSpaceDE/>
        <w:autoSpaceDN/>
        <w:bidi w:val="0"/>
        <w:adjustRightInd/>
        <w:snapToGrid/>
        <w:spacing w:line="0" w:lineRule="atLeast"/>
        <w:jc w:val="right"/>
        <w:textAlignment w:val="auto"/>
        <w:rPr>
          <w:rFonts w:hint="default" w:ascii="Times New Roman" w:hAnsi="Times New Roman" w:eastAsia="仿宋" w:cs="Times New Roman"/>
          <w:b/>
          <w:bCs/>
          <w:lang w:eastAsia="zh-CN"/>
        </w:rPr>
      </w:pPr>
    </w:p>
    <w:p>
      <w:pPr>
        <w:bidi w:val="0"/>
        <w:rPr>
          <w:rFonts w:hint="eastAsia"/>
          <w:b/>
          <w:bCs/>
          <w:highlight w:val="none"/>
        </w:rPr>
        <w:sectPr>
          <w:pgSz w:w="16840" w:h="11910" w:orient="landscape"/>
          <w:pgMar w:top="1803" w:right="1440" w:bottom="1803" w:left="1440" w:header="0" w:footer="1009" w:gutter="0"/>
          <w:cols w:space="0" w:num="1"/>
          <w:rtlGutter w:val="0"/>
          <w:docGrid w:linePitch="0" w:charSpace="0"/>
        </w:sectPr>
      </w:pPr>
    </w:p>
    <w:bookmarkEnd w:id="151"/>
    <w:bookmarkEnd w:id="152"/>
    <w:bookmarkEnd w:id="153"/>
    <w:bookmarkEnd w:id="154"/>
    <w:bookmarkEnd w:id="155"/>
    <w:bookmarkEnd w:id="156"/>
    <w:bookmarkEnd w:id="157"/>
    <w:bookmarkEnd w:id="158"/>
    <w:p>
      <w:pPr>
        <w:pStyle w:val="4"/>
        <w:spacing w:before="0" w:beforeLines="0" w:after="0" w:afterLines="0"/>
        <w:ind w:firstLine="643"/>
      </w:pPr>
      <w:bookmarkStart w:id="162" w:name="_Toc6262"/>
      <w:bookmarkStart w:id="163" w:name="_Toc32341"/>
      <w:bookmarkStart w:id="164" w:name="_Toc49947170"/>
      <w:bookmarkStart w:id="165" w:name="_Toc5212"/>
      <w:bookmarkStart w:id="166" w:name="_Toc236"/>
      <w:bookmarkStart w:id="167" w:name="_Toc13843"/>
      <w:bookmarkStart w:id="168" w:name="_Toc23220"/>
      <w:bookmarkStart w:id="169" w:name="_Toc49947256"/>
      <w:bookmarkStart w:id="170" w:name="_Toc4107"/>
      <w:bookmarkStart w:id="171" w:name="_Toc3011"/>
      <w:bookmarkStart w:id="172" w:name="_Toc129257219"/>
      <w:r>
        <w:rPr>
          <w:rFonts w:hint="eastAsia"/>
        </w:rPr>
        <w:t>（二）资金测算平衡情况</w:t>
      </w:r>
      <w:bookmarkEnd w:id="162"/>
      <w:bookmarkEnd w:id="163"/>
      <w:bookmarkEnd w:id="164"/>
      <w:bookmarkEnd w:id="165"/>
      <w:bookmarkEnd w:id="166"/>
      <w:bookmarkEnd w:id="167"/>
      <w:bookmarkEnd w:id="168"/>
      <w:bookmarkEnd w:id="169"/>
      <w:bookmarkEnd w:id="170"/>
      <w:bookmarkEnd w:id="171"/>
      <w:r>
        <w:rPr>
          <w:rFonts w:hint="eastAsia"/>
        </w:rPr>
        <w:t>和预测收益情况</w:t>
      </w:r>
      <w:bookmarkEnd w:id="172"/>
    </w:p>
    <w:p>
      <w:pPr>
        <w:pStyle w:val="5"/>
        <w:tabs>
          <w:tab w:val="left" w:pos="312"/>
        </w:tabs>
        <w:spacing w:before="0" w:beforeLines="0" w:after="0" w:afterLines="0"/>
        <w:ind w:firstLine="643"/>
        <w:rPr>
          <w:rFonts w:hint="eastAsia"/>
        </w:rPr>
      </w:pPr>
      <w:bookmarkStart w:id="173" w:name="_Toc129257220"/>
      <w:r>
        <w:rPr>
          <w:rFonts w:hint="eastAsia"/>
        </w:rPr>
        <w:t>1.资金平衡情况</w:t>
      </w:r>
      <w:bookmarkEnd w:id="173"/>
    </w:p>
    <w:p>
      <w:pPr>
        <w:bidi w:val="0"/>
        <w:rPr>
          <w:rFonts w:hint="eastAsia"/>
        </w:rPr>
        <w:sectPr>
          <w:pgSz w:w="11910" w:h="16840"/>
          <w:pgMar w:top="1440" w:right="1803" w:bottom="1440" w:left="1803" w:header="0" w:footer="1009" w:gutter="0"/>
          <w:cols w:space="0" w:num="1"/>
          <w:rtlGutter w:val="0"/>
          <w:docGrid w:linePitch="0" w:charSpace="0"/>
        </w:sectPr>
      </w:pPr>
      <w:r>
        <w:rPr>
          <w:rFonts w:hint="eastAsia"/>
          <w:color w:val="auto"/>
          <w:highlight w:val="none"/>
          <w:lang w:val="en-US"/>
        </w:rPr>
        <w:t>若项目在满足上述资金筹集计划、项目实施计划、资金使用计划及预期收益的假设前提下，政府专项债到期日累计资金结余18893.85万元，项目在预测期内可实现息前净现金流49256.25万元，政府专项债券到期本息合计37488.00万元，本项目息前净现金流的收益覆盖倍数为1.31倍。期间不存在资金缺口。</w:t>
      </w:r>
      <w:r>
        <w:rPr>
          <w:rFonts w:hint="eastAsia"/>
        </w:rPr>
        <w:t>具体的资金测算详见下表：</w:t>
      </w:r>
    </w:p>
    <w:p>
      <w:pPr>
        <w:spacing w:before="0" w:after="0"/>
        <w:ind w:firstLine="0" w:firstLineChars="0"/>
        <w:jc w:val="center"/>
        <w:rPr>
          <w:rFonts w:ascii="仿宋" w:hAnsi="仿宋" w:cs="仿宋"/>
          <w:b/>
          <w:bCs/>
          <w:sz w:val="24"/>
          <w:szCs w:val="24"/>
          <w:highlight w:val="none"/>
        </w:rPr>
      </w:pPr>
      <w:r>
        <w:rPr>
          <w:rFonts w:hint="eastAsia" w:ascii="仿宋" w:hAnsi="仿宋" w:cs="仿宋"/>
          <w:b/>
          <w:bCs/>
          <w:sz w:val="24"/>
          <w:szCs w:val="24"/>
          <w:highlight w:val="none"/>
        </w:rPr>
        <w:t>资金平衡测算表</w:t>
      </w:r>
    </w:p>
    <w:p>
      <w:pPr>
        <w:spacing w:before="0" w:after="0"/>
        <w:ind w:firstLine="0" w:firstLineChars="0"/>
        <w:jc w:val="right"/>
        <w:rPr>
          <w:b/>
          <w:bCs/>
          <w:sz w:val="24"/>
          <w:szCs w:val="24"/>
          <w:highlight w:val="none"/>
        </w:rPr>
      </w:pPr>
      <w:r>
        <w:rPr>
          <w:rFonts w:hint="eastAsia"/>
          <w:b/>
          <w:bCs/>
          <w:sz w:val="24"/>
          <w:szCs w:val="24"/>
          <w:highlight w:val="none"/>
        </w:rPr>
        <w:t>单位：万元</w:t>
      </w:r>
    </w:p>
    <w:tbl>
      <w:tblPr>
        <w:tblStyle w:val="46"/>
        <w:tblW w:w="4999"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718"/>
        <w:gridCol w:w="3327"/>
        <w:gridCol w:w="992"/>
        <w:gridCol w:w="956"/>
        <w:gridCol w:w="901"/>
        <w:gridCol w:w="901"/>
        <w:gridCol w:w="901"/>
        <w:gridCol w:w="901"/>
        <w:gridCol w:w="901"/>
        <w:gridCol w:w="901"/>
        <w:gridCol w:w="901"/>
        <w:gridCol w:w="901"/>
        <w:gridCol w:w="97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序号</w:t>
            </w:r>
          </w:p>
        </w:tc>
        <w:tc>
          <w:tcPr>
            <w:tcW w:w="1175"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项目</w:t>
            </w:r>
          </w:p>
        </w:tc>
        <w:tc>
          <w:tcPr>
            <w:tcW w:w="349"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合计</w:t>
            </w:r>
          </w:p>
        </w:tc>
        <w:tc>
          <w:tcPr>
            <w:tcW w:w="338" w:type="pct"/>
            <w:tcBorders>
              <w:top w:val="single" w:color="000000" w:sz="4" w:space="0"/>
              <w:left w:val="single" w:color="000000" w:sz="4" w:space="0"/>
              <w:bottom w:val="single" w:color="000000" w:sz="4" w:space="0"/>
              <w:right w:val="nil"/>
            </w:tcBorders>
            <w:shd w:val="clear" w:color="auto" w:fill="auto"/>
            <w:vAlign w:val="center"/>
          </w:tcPr>
          <w:p>
            <w:pPr>
              <w:pStyle w:val="60"/>
              <w:bidi w:val="0"/>
              <w:rPr>
                <w:rFonts w:hint="eastAsia"/>
                <w:lang w:val="en-US" w:eastAsia="zh-CN"/>
              </w:rPr>
            </w:pPr>
            <w:r>
              <w:rPr>
                <w:rFonts w:hint="eastAsia"/>
                <w:lang w:val="en-US" w:eastAsia="zh-CN"/>
              </w:rPr>
              <w:t>建设期</w:t>
            </w:r>
          </w:p>
        </w:tc>
        <w:tc>
          <w:tcPr>
            <w:tcW w:w="2881" w:type="pct"/>
            <w:gridSpan w:val="9"/>
            <w:tcBorders>
              <w:top w:val="single" w:color="000000" w:sz="4" w:space="0"/>
              <w:left w:val="single" w:color="000000" w:sz="4" w:space="0"/>
              <w:bottom w:val="single" w:color="000000" w:sz="4" w:space="0"/>
              <w:right w:val="nil"/>
            </w:tcBorders>
            <w:shd w:val="clear" w:color="auto" w:fill="auto"/>
            <w:vAlign w:val="center"/>
          </w:tcPr>
          <w:p>
            <w:pPr>
              <w:pStyle w:val="60"/>
              <w:bidi w:val="0"/>
              <w:rPr>
                <w:rFonts w:hint="eastAsia"/>
                <w:lang w:val="en-US" w:eastAsia="zh-CN"/>
              </w:rPr>
            </w:pPr>
            <w:r>
              <w:rPr>
                <w:rFonts w:hint="eastAsia"/>
                <w:lang w:val="en-US" w:eastAsia="zh-CN"/>
              </w:rPr>
              <w:t>运营期</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1175"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9"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第1年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第2年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第3年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第4年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第5年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第6年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第7年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第8年</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第9年</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5"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一</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经营活动产生的净现金流量（1-2）</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49256.25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5530.34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5515.88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5501.45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5487.08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5472.77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5458.49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5444.25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5430.06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5415.92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现金流入</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118051.74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13283.88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13241.82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13199.89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13158.09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13116.42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13074.88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13033.48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12992.21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12951.07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经营收入</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118051.74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13283.88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13241.82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13199.89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13158.09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13116.42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13074.88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13033.48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12992.21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12951.07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补贴收入</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现金流出</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68795.49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7753.54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7725.94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7698.43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7671.00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7643.65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7616.39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7589.24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7562.15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7535.14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经营成本</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56759.27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6386.89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6366.67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6346.51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6326.41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6306.37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6286.40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6266.50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6246.65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6226.87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5"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相关税费（税金及附加+企业所得税）</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12036.22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1366.65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1359.27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1351.92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1344.59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1337.28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1329.99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1322.74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1315.50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1308.27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5"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二</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投资活动净现金流量（1-2）</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-28346.00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-34562.80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6216.80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现金流入</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6216.80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6216.80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处置投资物</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6216.80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6216.80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收到其他投资</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现金流出</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34562.80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34562.80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575"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建设投资（静态总投资）</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34562.80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34562.80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维持运营投资</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三</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筹措活动净现金流量（1-2）</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-2016.40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34562.80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-29308.80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现金流入</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35500.00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35500.00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项目资本金投入</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7100.00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7100.00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专项债券资金</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28400.00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28400.00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现金流出</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37516.40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937.20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29308.80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2.1</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支付债券利息</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908.80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2.2</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支付债券发行费用</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28.40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28.40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2.3</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支付专项债券本金</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28400.00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17"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p>
        </w:tc>
        <w:tc>
          <w:tcPr>
            <w:tcW w:w="341"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lang w:val="en-US" w:eastAsia="zh-CN"/>
              </w:rPr>
            </w:pPr>
            <w:r>
              <w:rPr>
                <w:rFonts w:hint="eastAsia"/>
                <w:lang w:val="en-US" w:eastAsia="zh-CN"/>
              </w:rPr>
              <w:t>28400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四</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现金流量总计</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9243.09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18457.24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27642.54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36799.11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45927.06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55026.44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64097.33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73139.86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37787.70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58"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项目期的期初资金</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4621.54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9228.62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13821.27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18399.56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22963.53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27513.22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32048.67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36569.93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5"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项目期内现金变动（一+二+三）</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18893.85 </w:t>
            </w: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4621.54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4607.08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4592.65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4578.28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4563.97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4549.69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4535.45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4521.26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-17676.08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9" w:hRule="atLeast"/>
          <w:jc w:val="center"/>
        </w:trPr>
        <w:tc>
          <w:tcPr>
            <w:tcW w:w="25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 </w:t>
            </w:r>
          </w:p>
        </w:tc>
        <w:tc>
          <w:tcPr>
            <w:tcW w:w="117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项目期的期末资金</w:t>
            </w:r>
          </w:p>
        </w:tc>
        <w:tc>
          <w:tcPr>
            <w:tcW w:w="349"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p>
        </w:tc>
        <w:tc>
          <w:tcPr>
            <w:tcW w:w="338"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0.00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4621.54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9228.62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13821.27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18399.56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22963.53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27513.22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32048.67 </w:t>
            </w:r>
          </w:p>
        </w:tc>
        <w:tc>
          <w:tcPr>
            <w:tcW w:w="31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36569.93 </w:t>
            </w:r>
          </w:p>
        </w:tc>
        <w:tc>
          <w:tcPr>
            <w:tcW w:w="341"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lang w:val="en-US" w:eastAsia="zh-CN"/>
              </w:rPr>
            </w:pPr>
            <w:r>
              <w:rPr>
                <w:rFonts w:hint="eastAsia"/>
                <w:lang w:val="en-US" w:eastAsia="zh-CN"/>
              </w:rPr>
              <w:t xml:space="preserve">18893.85 </w:t>
            </w:r>
          </w:p>
        </w:tc>
      </w:tr>
    </w:tbl>
    <w:p>
      <w:pPr>
        <w:keepNext w:val="0"/>
        <w:keepLines w:val="0"/>
        <w:pageBreakBefore w:val="0"/>
        <w:widowControl w:val="0"/>
        <w:kinsoku/>
        <w:wordWrap/>
        <w:overflowPunct/>
        <w:topLinePunct w:val="0"/>
        <w:autoSpaceDE/>
        <w:autoSpaceDN/>
        <w:bidi w:val="0"/>
        <w:adjustRightInd/>
        <w:snapToGrid/>
        <w:spacing w:line="0" w:lineRule="atLeast"/>
        <w:jc w:val="both"/>
        <w:textAlignment w:val="auto"/>
        <w:rPr>
          <w:rFonts w:hint="default" w:ascii="Times New Roman" w:hAnsi="Times New Roman" w:eastAsia="仿宋" w:cs="Times New Roman"/>
          <w:b/>
          <w:bCs/>
          <w:lang w:eastAsia="zh-CN"/>
        </w:rPr>
      </w:pPr>
    </w:p>
    <w:p>
      <w:pPr>
        <w:bidi w:val="0"/>
        <w:rPr>
          <w:rFonts w:hint="eastAsia"/>
        </w:rPr>
        <w:sectPr>
          <w:pgSz w:w="16840" w:h="11910" w:orient="landscape"/>
          <w:pgMar w:top="1803" w:right="1440" w:bottom="1803" w:left="1440" w:header="0" w:footer="1009" w:gutter="0"/>
          <w:cols w:space="0" w:num="1"/>
          <w:rtlGutter w:val="0"/>
          <w:docGrid w:linePitch="0" w:charSpace="0"/>
        </w:sectPr>
      </w:pPr>
    </w:p>
    <w:p>
      <w:pPr>
        <w:bidi w:val="0"/>
        <w:rPr>
          <w:rFonts w:hint="eastAsia"/>
        </w:rPr>
      </w:pPr>
    </w:p>
    <w:p>
      <w:pPr>
        <w:pStyle w:val="5"/>
        <w:spacing w:before="0" w:beforeLines="0" w:after="0" w:afterLines="0"/>
        <w:ind w:firstLine="643"/>
        <w:rPr>
          <w:rFonts w:hint="eastAsia"/>
        </w:rPr>
      </w:pPr>
      <w:bookmarkStart w:id="174" w:name="_Toc129257221"/>
      <w:r>
        <w:rPr>
          <w:rFonts w:hint="eastAsia"/>
        </w:rPr>
        <w:t>2.预测收益情况</w:t>
      </w:r>
      <w:bookmarkEnd w:id="174"/>
    </w:p>
    <w:p>
      <w:pPr>
        <w:bidi w:val="0"/>
        <w:rPr>
          <w:rFonts w:hint="eastAsia"/>
        </w:rPr>
        <w:sectPr>
          <w:pgSz w:w="11910" w:h="16840"/>
          <w:pgMar w:top="1440" w:right="1803" w:bottom="1440" w:left="1803" w:header="0" w:footer="1009" w:gutter="0"/>
          <w:cols w:space="0" w:num="1"/>
          <w:rtlGutter w:val="0"/>
          <w:docGrid w:linePitch="0" w:charSpace="0"/>
        </w:sectPr>
      </w:pPr>
      <w:r>
        <w:rPr>
          <w:rFonts w:hint="eastAsia"/>
          <w:highlight w:val="none"/>
        </w:rPr>
        <w:t>综合上述专项收入、经营成本费用的估算，本项目在债券存继期内运营总收入预计为118051.74万元，总成本预计为98619.93万元，累计净利润为14573.85万元，本项目息前净现金流量累计49256.25万元，财务费用为8179.20万元（运营期利息），本项目收入净现金流覆盖全部融资本息倍数为1.31倍（息前净现金流/还本付息总额）。</w:t>
      </w:r>
    </w:p>
    <w:p>
      <w:pPr>
        <w:bidi w:val="0"/>
        <w:spacing w:line="240" w:lineRule="auto"/>
        <w:jc w:val="center"/>
        <w:rPr>
          <w:rFonts w:hint="eastAsia" w:ascii="方正仿宋_GB2312" w:hAnsi="方正仿宋_GB2312" w:eastAsia="方正仿宋_GB2312" w:cs="方正仿宋_GB2312"/>
          <w:b/>
          <w:bCs/>
          <w:sz w:val="24"/>
          <w:szCs w:val="24"/>
          <w:highlight w:val="none"/>
          <w:lang w:val="en-US" w:eastAsia="zh-CN"/>
        </w:rPr>
      </w:pPr>
      <w:r>
        <w:rPr>
          <w:rFonts w:hint="eastAsia" w:ascii="方正仿宋_GB2312" w:hAnsi="方正仿宋_GB2312" w:eastAsia="方正仿宋_GB2312" w:cs="方正仿宋_GB2312"/>
          <w:b/>
          <w:bCs/>
          <w:sz w:val="24"/>
          <w:szCs w:val="24"/>
          <w:highlight w:val="none"/>
          <w:lang w:val="en-US" w:eastAsia="zh-CN"/>
        </w:rPr>
        <w:t>项目损益表</w:t>
      </w:r>
    </w:p>
    <w:p>
      <w:pPr>
        <w:spacing w:before="0" w:after="0" w:line="240" w:lineRule="auto"/>
        <w:ind w:firstLine="0" w:firstLineChars="0"/>
        <w:jc w:val="right"/>
        <w:rPr>
          <w:b/>
          <w:bCs/>
          <w:sz w:val="22"/>
          <w:szCs w:val="22"/>
          <w:highlight w:val="none"/>
        </w:rPr>
      </w:pPr>
      <w:r>
        <w:rPr>
          <w:rFonts w:hint="eastAsia" w:ascii="方正仿宋_GB2312" w:hAnsi="方正仿宋_GB2312" w:eastAsia="方正仿宋_GB2312" w:cs="方正仿宋_GB2312"/>
          <w:b/>
          <w:bCs/>
          <w:sz w:val="24"/>
          <w:szCs w:val="24"/>
          <w:highlight w:val="none"/>
          <w:lang w:val="en-US" w:eastAsia="zh-CN"/>
        </w:rPr>
        <w:t>单位：万元</w:t>
      </w:r>
    </w:p>
    <w:p>
      <w:pPr>
        <w:keepNext w:val="0"/>
        <w:keepLines w:val="0"/>
        <w:pageBreakBefore w:val="0"/>
        <w:widowControl w:val="0"/>
        <w:kinsoku/>
        <w:wordWrap/>
        <w:overflowPunct/>
        <w:topLinePunct w:val="0"/>
        <w:autoSpaceDE/>
        <w:autoSpaceDN/>
        <w:bidi w:val="0"/>
        <w:adjustRightInd/>
        <w:snapToGrid/>
        <w:spacing w:line="0" w:lineRule="atLeast"/>
        <w:jc w:val="right"/>
        <w:textAlignment w:val="auto"/>
        <w:rPr>
          <w:rFonts w:hint="default" w:ascii="Times New Roman" w:hAnsi="Times New Roman" w:eastAsia="仿宋" w:cs="Times New Roman"/>
          <w:b/>
          <w:bCs/>
          <w:lang w:eastAsia="zh-CN"/>
        </w:rPr>
      </w:pPr>
    </w:p>
    <w:tbl>
      <w:tblPr>
        <w:tblStyle w:val="46"/>
        <w:tblW w:w="4997"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40"/>
        <w:gridCol w:w="2254"/>
        <w:gridCol w:w="1179"/>
        <w:gridCol w:w="1077"/>
        <w:gridCol w:w="1077"/>
        <w:gridCol w:w="1077"/>
        <w:gridCol w:w="1077"/>
        <w:gridCol w:w="1077"/>
        <w:gridCol w:w="1077"/>
        <w:gridCol w:w="1077"/>
        <w:gridCol w:w="1077"/>
        <w:gridCol w:w="107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pPr>
            <w:r>
              <w:rPr>
                <w:rFonts w:hint="eastAsia"/>
                <w:lang w:val="en-US" w:eastAsia="zh-CN"/>
              </w:rPr>
              <w:t>序号</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项目</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合计</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第2年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第3年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第4年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第5年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第6年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第7年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第8年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第9年</w:t>
            </w:r>
          </w:p>
        </w:tc>
        <w:tc>
          <w:tcPr>
            <w:tcW w:w="380" w:type="pct"/>
            <w:tcBorders>
              <w:top w:val="single" w:color="000000" w:sz="4" w:space="0"/>
              <w:left w:val="single" w:color="000000" w:sz="4" w:space="0"/>
              <w:bottom w:val="single" w:color="000000" w:sz="4" w:space="0"/>
              <w:right w:val="single" w:color="000000" w:sz="4" w:space="0"/>
            </w:tcBorders>
            <w:shd w:val="clear" w:color="auto" w:fill="auto"/>
            <w:noWrap/>
            <w:vAlign w:val="center"/>
          </w:tcPr>
          <w:p>
            <w:pPr>
              <w:pStyle w:val="60"/>
              <w:bidi w:val="0"/>
              <w:rPr>
                <w:rFonts w:hint="eastAsia"/>
              </w:rPr>
            </w:pPr>
            <w:r>
              <w:rPr>
                <w:rFonts w:hint="eastAsia"/>
                <w:lang w:val="en-US" w:eastAsia="zh-CN"/>
              </w:rPr>
              <w:t>第10年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一</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项目收入总计</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118,051.74</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13,283.88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13,241.82</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13,199.89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13,158.09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13,116.42</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13,074.88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13,033.48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12,992.21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12,951.07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二</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总成本费用</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98,619.93</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11,048.23</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11,025.45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11,002.74</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10,980.10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10,957.53</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10,935.03</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10,912.62</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10,890.26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10,867.97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相关税费</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7,178.26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807.74</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805.18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802.63</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800.09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797.56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795.03</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792.52</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790.01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787.50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经营成本</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56,759.27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6,386.89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6,366.67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6,346.51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6,326.41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6,306.37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6,286.40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6,266.50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6,246.65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6,226.87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3</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固定资产折旧</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26,503.20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2,944.80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4</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财务费用</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8,179.20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908.80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三</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利润总额</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19,431.81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2,235.65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2,216.37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2,197.15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2,177.99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2,158.89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2,139.85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2,120.86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2,101.95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2,083.10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减：</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所得税</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4,857.95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558.91</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554.09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549.29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544.50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539.72</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534.96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530.22</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525.49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520.77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四</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净利润</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14,573.85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1,676.74</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1,662.28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1,647.86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1,633.49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1,619.17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1,604.89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1,590.65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1,576.46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1,562.32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76"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五</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主要指标：</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0.00</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67"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1</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息前税后利润NOPAT</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22,753.05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2,585.54</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2,571.08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2,556.66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2,542.29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2,527.97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2,513.69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2,499.45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2,485.26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2,471.12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28" w:hRule="atLeast"/>
          <w:jc w:val="center"/>
        </w:trPr>
        <w:tc>
          <w:tcPr>
            <w:tcW w:w="367"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2</w:t>
            </w:r>
          </w:p>
        </w:tc>
        <w:tc>
          <w:tcPr>
            <w:tcW w:w="795"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息前净现金流量（NOPAT+折旧）</w:t>
            </w:r>
          </w:p>
        </w:tc>
        <w:tc>
          <w:tcPr>
            <w:tcW w:w="416"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49,256.25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5,530.34</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5,515.88</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5,501.46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5,487.09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5,472.77</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5,458.49</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5,444.25</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5,430.06</w:t>
            </w:r>
          </w:p>
        </w:tc>
        <w:tc>
          <w:tcPr>
            <w:tcW w:w="380" w:type="pct"/>
            <w:tcBorders>
              <w:top w:val="single" w:color="000000" w:sz="4" w:space="0"/>
              <w:left w:val="single" w:color="000000" w:sz="4" w:space="0"/>
              <w:bottom w:val="single" w:color="000000" w:sz="4" w:space="0"/>
              <w:right w:val="single" w:color="000000" w:sz="4" w:space="0"/>
            </w:tcBorders>
            <w:shd w:val="clear" w:color="auto" w:fill="auto"/>
            <w:vAlign w:val="center"/>
          </w:tcPr>
          <w:p>
            <w:pPr>
              <w:pStyle w:val="60"/>
              <w:bidi w:val="0"/>
              <w:rPr>
                <w:rFonts w:hint="eastAsia"/>
              </w:rPr>
            </w:pPr>
            <w:r>
              <w:rPr>
                <w:rFonts w:hint="eastAsia"/>
                <w:lang w:val="en-US" w:eastAsia="zh-CN"/>
              </w:rPr>
              <w:t>5,415.92</w:t>
            </w:r>
          </w:p>
        </w:tc>
      </w:tr>
    </w:tbl>
    <w:p>
      <w:pPr>
        <w:bidi w:val="0"/>
        <w:rPr>
          <w:rFonts w:hint="eastAsia"/>
        </w:rPr>
        <w:sectPr>
          <w:pgSz w:w="16840" w:h="11910" w:orient="landscape"/>
          <w:pgMar w:top="1803" w:right="1440" w:bottom="1803" w:left="1440" w:header="0" w:footer="1009" w:gutter="0"/>
          <w:cols w:space="0" w:num="1"/>
          <w:rtlGutter w:val="0"/>
          <w:docGrid w:linePitch="0" w:charSpace="0"/>
        </w:sectPr>
      </w:pPr>
    </w:p>
    <w:p>
      <w:pPr>
        <w:pStyle w:val="3"/>
        <w:spacing w:before="0" w:beforeLines="0" w:after="0" w:afterLines="0"/>
        <w:ind w:firstLine="643"/>
      </w:pPr>
      <w:bookmarkStart w:id="175" w:name="_Toc25842_WPSOffice_Level1"/>
      <w:bookmarkStart w:id="176" w:name="_Toc129257228"/>
      <w:bookmarkStart w:id="177" w:name="_Toc49947180"/>
      <w:bookmarkStart w:id="178" w:name="_Toc477"/>
      <w:bookmarkStart w:id="179" w:name="_Toc17245_WPSOffice_Level1"/>
      <w:bookmarkStart w:id="180" w:name="_Toc536785380"/>
      <w:bookmarkStart w:id="181" w:name="_Toc26135"/>
      <w:bookmarkStart w:id="182" w:name="_Toc16502"/>
      <w:bookmarkStart w:id="183" w:name="_Toc49947266"/>
      <w:bookmarkStart w:id="184" w:name="_Toc16687"/>
      <w:bookmarkStart w:id="185" w:name="_Toc23778"/>
      <w:r>
        <w:rPr>
          <w:rFonts w:hint="eastAsia"/>
          <w:lang w:eastAsia="zh-CN"/>
        </w:rPr>
        <w:t>五</w:t>
      </w:r>
      <w:r>
        <w:rPr>
          <w:rFonts w:hint="eastAsia"/>
        </w:rPr>
        <w:t>、项目绩效目标</w:t>
      </w:r>
      <w:bookmarkEnd w:id="175"/>
      <w:bookmarkEnd w:id="176"/>
      <w:bookmarkEnd w:id="177"/>
      <w:bookmarkEnd w:id="178"/>
      <w:bookmarkEnd w:id="179"/>
      <w:bookmarkEnd w:id="180"/>
      <w:bookmarkEnd w:id="181"/>
      <w:bookmarkEnd w:id="182"/>
      <w:bookmarkEnd w:id="183"/>
      <w:bookmarkEnd w:id="184"/>
      <w:bookmarkEnd w:id="185"/>
    </w:p>
    <w:p>
      <w:pPr>
        <w:pStyle w:val="4"/>
        <w:spacing w:before="0" w:beforeLines="0" w:after="0" w:afterLines="0"/>
        <w:ind w:firstLine="643"/>
        <w:rPr>
          <w:rFonts w:hint="eastAsia"/>
        </w:rPr>
      </w:pPr>
      <w:bookmarkStart w:id="186" w:name="_Toc18732"/>
      <w:bookmarkStart w:id="187" w:name="_Toc15187"/>
      <w:bookmarkStart w:id="188" w:name="_Toc22814_WPSOffice_Level2"/>
      <w:bookmarkStart w:id="189" w:name="_Toc49947182"/>
      <w:bookmarkStart w:id="190" w:name="_Toc536785382"/>
      <w:bookmarkStart w:id="191" w:name="_Toc14135"/>
      <w:bookmarkStart w:id="192" w:name="_Toc21079"/>
      <w:bookmarkStart w:id="193" w:name="_Toc25929"/>
      <w:bookmarkStart w:id="194" w:name="_Toc49947268"/>
      <w:bookmarkStart w:id="195" w:name="_Toc18511_WPSOffice_Level2"/>
      <w:bookmarkStart w:id="196" w:name="_Toc129257229"/>
      <w:bookmarkStart w:id="197" w:name="_Toc21913"/>
      <w:r>
        <w:rPr>
          <w:rFonts w:hint="eastAsia"/>
        </w:rPr>
        <w:t>（一）时效目标</w:t>
      </w:r>
      <w:bookmarkEnd w:id="186"/>
      <w:bookmarkEnd w:id="187"/>
      <w:bookmarkEnd w:id="188"/>
      <w:bookmarkEnd w:id="189"/>
      <w:bookmarkEnd w:id="190"/>
      <w:bookmarkEnd w:id="191"/>
      <w:bookmarkEnd w:id="192"/>
      <w:bookmarkEnd w:id="193"/>
      <w:bookmarkEnd w:id="194"/>
      <w:bookmarkEnd w:id="195"/>
      <w:bookmarkEnd w:id="196"/>
      <w:bookmarkEnd w:id="197"/>
    </w:p>
    <w:p>
      <w:pPr>
        <w:bidi w:val="0"/>
        <w:rPr>
          <w:rFonts w:hint="eastAsia"/>
        </w:rPr>
      </w:pPr>
      <w:r>
        <w:rPr>
          <w:rFonts w:hint="eastAsia"/>
        </w:rPr>
        <w:t>（1）项目总体建设目标：</w:t>
      </w:r>
    </w:p>
    <w:p>
      <w:pPr>
        <w:bidi w:val="0"/>
        <w:rPr>
          <w:rFonts w:hint="eastAsia"/>
        </w:rPr>
      </w:pPr>
      <w:r>
        <w:rPr>
          <w:rFonts w:hint="eastAsia"/>
        </w:rPr>
        <w:t>目标1：为自贡市及自贡市周边群众提供较为优质的公共交通服务，进一步完善自贡区域公共交通服务功能，本工程拟采购409台长续航快充大型纯电公交车，替换全市现有运行的8年及以上或即将报废的409辆老旧非纯电公交车。</w:t>
      </w:r>
    </w:p>
    <w:p>
      <w:pPr>
        <w:bidi w:val="0"/>
        <w:rPr>
          <w:rFonts w:hint="eastAsia"/>
        </w:rPr>
      </w:pPr>
      <w:r>
        <w:rPr>
          <w:rFonts w:hint="eastAsia"/>
        </w:rPr>
        <w:t>目标2：项目建成后，年减少二氧化碳排放约2万吨，助力自贡市绿色公交升级，实现污染物减排目标。</w:t>
      </w:r>
    </w:p>
    <w:p>
      <w:pPr>
        <w:bidi w:val="0"/>
        <w:rPr>
          <w:rFonts w:hint="eastAsia"/>
        </w:rPr>
      </w:pPr>
      <w:r>
        <w:rPr>
          <w:rFonts w:hint="eastAsia"/>
        </w:rPr>
        <w:t>目标3：在2026年6月前完成项目竣工验收；</w:t>
      </w:r>
    </w:p>
    <w:p>
      <w:pPr>
        <w:bidi w:val="0"/>
        <w:rPr>
          <w:rFonts w:hint="eastAsia"/>
        </w:rPr>
      </w:pPr>
      <w:r>
        <w:rPr>
          <w:rFonts w:hint="eastAsia"/>
        </w:rPr>
        <w:t>目标4：债券存续期内实现年度收支平衡和总体收支平衡；</w:t>
      </w:r>
    </w:p>
    <w:p>
      <w:pPr>
        <w:bidi w:val="0"/>
        <w:rPr>
          <w:rFonts w:hint="eastAsia"/>
        </w:rPr>
      </w:pPr>
      <w:r>
        <w:rPr>
          <w:rFonts w:hint="eastAsia"/>
        </w:rPr>
        <w:t>目标5：提升区域公共交通水平。</w:t>
      </w:r>
    </w:p>
    <w:p>
      <w:pPr>
        <w:bidi w:val="0"/>
        <w:rPr>
          <w:rFonts w:hint="eastAsia"/>
        </w:rPr>
      </w:pPr>
      <w:r>
        <w:rPr>
          <w:rFonts w:hint="eastAsia"/>
        </w:rPr>
        <w:t>（2）项目2025年建设目标：</w:t>
      </w:r>
    </w:p>
    <w:p>
      <w:pPr>
        <w:bidi w:val="0"/>
      </w:pPr>
      <w:r>
        <w:rPr>
          <w:rFonts w:hint="eastAsia"/>
        </w:rPr>
        <w:t>目标1：为自贡市及自贡市周边群众提供较为优质的公共交通服务，进一步完善自贡区域公共交通服务功能，本工程拟采购409台长续航快充大型纯电公交车，替换全市现有运行的8年及以上或即将报废的409辆老旧非纯电公交车。</w:t>
      </w:r>
    </w:p>
    <w:p>
      <w:pPr>
        <w:pStyle w:val="4"/>
        <w:numPr>
          <w:ilvl w:val="0"/>
          <w:numId w:val="0"/>
        </w:numPr>
        <w:spacing w:before="0" w:beforeLines="0" w:after="0" w:afterLines="0"/>
        <w:ind w:leftChars="200"/>
        <w:rPr>
          <w:rFonts w:hint="eastAsia"/>
        </w:rPr>
      </w:pPr>
      <w:bookmarkStart w:id="198" w:name="_Toc21114_WPSOffice_Level2"/>
      <w:bookmarkStart w:id="199" w:name="_Toc14538"/>
      <w:bookmarkStart w:id="200" w:name="_Toc19375"/>
      <w:bookmarkStart w:id="201" w:name="_Toc129257230"/>
      <w:bookmarkStart w:id="202" w:name="_Toc19765"/>
      <w:bookmarkStart w:id="203" w:name="_Toc21049_WPSOffice_Level2"/>
      <w:bookmarkStart w:id="204" w:name="_Toc27167"/>
      <w:bookmarkStart w:id="205" w:name="_Toc32379"/>
      <w:bookmarkStart w:id="206" w:name="_Toc49947269"/>
      <w:bookmarkStart w:id="207" w:name="_Toc22628"/>
      <w:bookmarkStart w:id="208" w:name="_Toc536785383"/>
      <w:bookmarkStart w:id="209" w:name="_Toc49947183"/>
      <w:r>
        <w:rPr>
          <w:rFonts w:hint="eastAsia"/>
          <w:lang w:eastAsia="zh-CN"/>
        </w:rPr>
        <w:t>（</w:t>
      </w:r>
      <w:r>
        <w:rPr>
          <w:rFonts w:hint="eastAsia"/>
          <w:lang w:val="en-US" w:eastAsia="zh-CN"/>
        </w:rPr>
        <w:t>二</w:t>
      </w:r>
      <w:r>
        <w:rPr>
          <w:rFonts w:hint="eastAsia"/>
          <w:lang w:eastAsia="zh-CN"/>
        </w:rPr>
        <w:t>）</w:t>
      </w:r>
      <w:r>
        <w:rPr>
          <w:rFonts w:hint="eastAsia"/>
        </w:rPr>
        <w:t>经济效益目标</w:t>
      </w:r>
      <w:bookmarkEnd w:id="198"/>
      <w:bookmarkEnd w:id="199"/>
      <w:bookmarkEnd w:id="200"/>
      <w:bookmarkEnd w:id="201"/>
      <w:bookmarkEnd w:id="202"/>
      <w:bookmarkEnd w:id="203"/>
      <w:bookmarkEnd w:id="204"/>
      <w:bookmarkEnd w:id="205"/>
      <w:bookmarkEnd w:id="206"/>
      <w:bookmarkEnd w:id="207"/>
      <w:bookmarkEnd w:id="208"/>
      <w:bookmarkEnd w:id="209"/>
    </w:p>
    <w:p>
      <w:pPr>
        <w:bidi w:val="0"/>
        <w:rPr>
          <w:rFonts w:hint="eastAsia"/>
        </w:rPr>
      </w:pPr>
      <w:r>
        <w:rPr>
          <w:rFonts w:hint="eastAsia"/>
        </w:rPr>
        <w:t>本项目的建设能够产生直接和间接的经济效益。</w:t>
      </w:r>
    </w:p>
    <w:p>
      <w:pPr>
        <w:bidi w:val="0"/>
        <w:rPr>
          <w:rFonts w:hint="eastAsia"/>
        </w:rPr>
      </w:pPr>
      <w:r>
        <w:rPr>
          <w:rFonts w:hint="eastAsia"/>
        </w:rPr>
        <w:t>直接经济效益：本项目属于有一定收益的公益项目，项目运营过程能够大幅度提升自贡市的公共交通服务水平，增加收入归属于项目的直接经济效益。本项目通过新能源公交车提能建设，可在管理、服务等领域产生巨大的效益，为自贡市发展带来直接和间接经济效益。项目运营计算期中，预计可实现收入118051.74万元。专项债全部到期时，在偿还当年到期本息后，仍有18893.85万元的累计现金结余，项目收益较好，能实现融资平衡。</w:t>
      </w:r>
    </w:p>
    <w:p>
      <w:pPr>
        <w:bidi w:val="0"/>
      </w:pPr>
      <w:r>
        <w:rPr>
          <w:rFonts w:hint="eastAsia"/>
        </w:rPr>
        <w:t>间接经济效益：项目能够在成本、投资方面产生较为明显的间接经济效益。本项目投入运行后，区域内的公共交通运输能力将显著提高，发挥政府投资项目的公益效益。该项目建设后，公共交通保障力度将大大提高，有助于形成规模化的公共交通体系，从而降低成本，在一定程度上减少了资金、人力方面的投入。项目的实施有利于改善城市投资环境，可以吸引社会投资，增加产出，促进地区的发展，有利于推动自贡市GDP和经济持续稳定的增长。</w:t>
      </w:r>
    </w:p>
    <w:p>
      <w:pPr>
        <w:pStyle w:val="4"/>
        <w:spacing w:before="0" w:beforeLines="0" w:after="0" w:afterLines="0"/>
        <w:ind w:firstLine="643"/>
        <w:rPr>
          <w:rFonts w:hint="eastAsia"/>
        </w:rPr>
      </w:pPr>
      <w:bookmarkStart w:id="210" w:name="_Toc49947185"/>
      <w:bookmarkStart w:id="211" w:name="_Toc25094"/>
      <w:bookmarkStart w:id="212" w:name="_Toc5495"/>
      <w:bookmarkStart w:id="213" w:name="_Toc999"/>
      <w:bookmarkStart w:id="214" w:name="_Toc49947271"/>
      <w:bookmarkStart w:id="215" w:name="_Toc6561"/>
      <w:bookmarkStart w:id="216" w:name="_Toc3662_WPSOffice_Level2"/>
      <w:bookmarkStart w:id="217" w:name="_Toc13623_WPSOffice_Level2"/>
      <w:bookmarkStart w:id="218" w:name="_Toc19582"/>
      <w:bookmarkStart w:id="219" w:name="_Toc536785384"/>
      <w:bookmarkStart w:id="220" w:name="_Toc129257231"/>
      <w:bookmarkStart w:id="221" w:name="_Toc8461"/>
      <w:r>
        <w:rPr>
          <w:rFonts w:hint="eastAsia"/>
        </w:rPr>
        <w:t>（三）社会效益目标</w:t>
      </w:r>
      <w:bookmarkEnd w:id="210"/>
      <w:bookmarkEnd w:id="211"/>
      <w:bookmarkEnd w:id="212"/>
      <w:bookmarkEnd w:id="213"/>
      <w:bookmarkEnd w:id="214"/>
      <w:bookmarkEnd w:id="215"/>
      <w:bookmarkEnd w:id="216"/>
      <w:bookmarkEnd w:id="217"/>
      <w:bookmarkEnd w:id="218"/>
      <w:bookmarkEnd w:id="219"/>
      <w:bookmarkEnd w:id="220"/>
      <w:bookmarkEnd w:id="221"/>
    </w:p>
    <w:p>
      <w:pPr>
        <w:bidi w:val="0"/>
        <w:rPr>
          <w:rFonts w:hint="eastAsia"/>
        </w:rPr>
      </w:pPr>
      <w:r>
        <w:rPr>
          <w:rFonts w:hint="eastAsia"/>
        </w:rPr>
        <w:t>本工程实施后，将完善四川省自贡市公共交通</w:t>
      </w:r>
      <w:r>
        <w:rPr>
          <w:rFonts w:hint="eastAsia"/>
          <w:lang w:val="en-US" w:eastAsia="zh-CN"/>
        </w:rPr>
        <w:t>服务</w:t>
      </w:r>
      <w:r>
        <w:rPr>
          <w:rFonts w:hint="eastAsia"/>
        </w:rPr>
        <w:t>，健全自贡市的公共交通服务体系，为群众创造一个良好的出行环境，满足人民群众对出行的需求。通过项目建设，为辖区民众的健康及社会经济发展提供优质服务；为满足广大人民群众的出行需求，提高人民群众的出行质量，稳定社会起到积极的作用。同时将增加公司的工作人员，带动一定的社会人员就业。</w:t>
      </w:r>
    </w:p>
    <w:p>
      <w:pPr>
        <w:bidi w:val="0"/>
        <w:rPr>
          <w:rFonts w:hint="eastAsia"/>
        </w:rPr>
      </w:pPr>
      <w:r>
        <w:rPr>
          <w:rFonts w:hint="eastAsia"/>
        </w:rPr>
        <w:t>项目建成后，直接拉动本地产业链发展，形成“以购促产”的良性循环。一方面，项目通过集中采购推动本地新能源汽车制造企业扩大产能，吸引上下游配套产业在区域内的投资布局，激活地方工业经济。另一方面，公交运营环节的能源消耗可优先对接本地清洁能源供应体系，促进地方能源产业协同发展，形成绿色经济新增长点。</w:t>
      </w:r>
    </w:p>
    <w:p>
      <w:pPr>
        <w:bidi w:val="0"/>
      </w:pPr>
      <w:r>
        <w:rPr>
          <w:rFonts w:hint="eastAsia"/>
        </w:rPr>
        <w:t>综上所述，本项目的实施，将会产生良好的经济效益、社会效益，推动地方经济发展和社会进步。综上所述，本项目的实施，将会产生良好的经济效益、社会效益，推动地方经济发展和社会进步。</w:t>
      </w:r>
    </w:p>
    <w:p>
      <w:pPr>
        <w:pStyle w:val="4"/>
        <w:spacing w:before="0" w:beforeLines="0" w:after="0" w:afterLines="0"/>
        <w:ind w:firstLine="643"/>
        <w:rPr>
          <w:rFonts w:hint="eastAsia"/>
        </w:rPr>
      </w:pPr>
      <w:bookmarkStart w:id="222" w:name="_Toc18398"/>
      <w:bookmarkStart w:id="223" w:name="_Toc536785385"/>
      <w:bookmarkStart w:id="224" w:name="_Toc129257232"/>
      <w:bookmarkStart w:id="225" w:name="_Toc49947187"/>
      <w:bookmarkStart w:id="226" w:name="_Toc8127"/>
      <w:bookmarkStart w:id="227" w:name="_Toc29749_WPSOffice_Level2"/>
      <w:bookmarkStart w:id="228" w:name="_Toc4946_WPSOffice_Level2"/>
      <w:bookmarkStart w:id="229" w:name="_Toc49947273"/>
      <w:bookmarkStart w:id="230" w:name="_Toc20702"/>
      <w:bookmarkStart w:id="231" w:name="_Toc5999"/>
      <w:bookmarkStart w:id="232" w:name="_Toc26522"/>
      <w:bookmarkStart w:id="233" w:name="_Toc11754"/>
      <w:r>
        <w:rPr>
          <w:rFonts w:hint="eastAsia"/>
        </w:rPr>
        <w:t>（四）可持续影响目标</w:t>
      </w:r>
      <w:bookmarkEnd w:id="222"/>
      <w:bookmarkEnd w:id="223"/>
      <w:bookmarkEnd w:id="224"/>
      <w:bookmarkEnd w:id="225"/>
      <w:bookmarkEnd w:id="226"/>
      <w:bookmarkEnd w:id="227"/>
      <w:bookmarkEnd w:id="228"/>
      <w:bookmarkEnd w:id="229"/>
      <w:bookmarkEnd w:id="230"/>
      <w:bookmarkEnd w:id="231"/>
      <w:bookmarkEnd w:id="232"/>
      <w:bookmarkEnd w:id="233"/>
    </w:p>
    <w:p>
      <w:pPr>
        <w:bidi w:val="0"/>
        <w:rPr>
          <w:rFonts w:hint="eastAsia"/>
          <w:lang w:val="en-US" w:eastAsia="zh-CN"/>
        </w:rPr>
      </w:pPr>
      <w:r>
        <w:rPr>
          <w:rFonts w:hint="eastAsia"/>
          <w:lang w:val="en-US" w:eastAsia="zh-CN"/>
        </w:rPr>
        <w:t>保障地方经济可持续发展，项目使用寿命≥10年。</w:t>
      </w:r>
    </w:p>
    <w:p>
      <w:pPr>
        <w:pStyle w:val="3"/>
        <w:spacing w:before="0" w:beforeLines="0" w:after="0" w:afterLines="0"/>
        <w:ind w:firstLine="643"/>
        <w:rPr>
          <w:rFonts w:hint="eastAsia"/>
          <w:szCs w:val="28"/>
        </w:rPr>
      </w:pPr>
      <w:bookmarkStart w:id="234" w:name="_Toc29794"/>
      <w:bookmarkStart w:id="235" w:name="_Toc49947288"/>
      <w:bookmarkStart w:id="236" w:name="_Toc504"/>
      <w:bookmarkStart w:id="237" w:name="_Toc49947202"/>
      <w:bookmarkStart w:id="238" w:name="_Toc19260"/>
      <w:bookmarkStart w:id="239" w:name="_Toc1965"/>
      <w:bookmarkStart w:id="240" w:name="_Toc17168"/>
      <w:bookmarkStart w:id="241" w:name="_Toc10008"/>
      <w:bookmarkStart w:id="242" w:name="_Toc129257246"/>
      <w:bookmarkStart w:id="243" w:name="_Toc27136"/>
      <w:bookmarkStart w:id="244" w:name="_Toc11428"/>
      <w:r>
        <w:rPr>
          <w:rFonts w:hint="eastAsia"/>
          <w:lang w:eastAsia="zh-CN"/>
        </w:rPr>
        <w:t>六</w:t>
      </w:r>
      <w:r>
        <w:rPr>
          <w:rFonts w:hint="eastAsia"/>
        </w:rPr>
        <w:t>、</w:t>
      </w:r>
      <w:bookmarkEnd w:id="234"/>
      <w:bookmarkEnd w:id="235"/>
      <w:bookmarkEnd w:id="236"/>
      <w:bookmarkEnd w:id="237"/>
      <w:bookmarkEnd w:id="238"/>
      <w:bookmarkEnd w:id="239"/>
      <w:bookmarkEnd w:id="240"/>
      <w:bookmarkEnd w:id="241"/>
      <w:bookmarkEnd w:id="242"/>
      <w:bookmarkEnd w:id="243"/>
      <w:bookmarkEnd w:id="244"/>
      <w:r>
        <w:rPr>
          <w:rFonts w:hint="eastAsia"/>
          <w:szCs w:val="28"/>
        </w:rPr>
        <w:t>潜在影响项目的风险评估</w:t>
      </w:r>
    </w:p>
    <w:p>
      <w:pPr>
        <w:rPr>
          <w:rFonts w:hint="eastAsia"/>
        </w:rPr>
      </w:pPr>
      <w:r>
        <w:rPr>
          <w:rFonts w:hint="eastAsia"/>
        </w:rPr>
        <w:t>1.经营风险</w:t>
      </w:r>
    </w:p>
    <w:p>
      <w:pPr>
        <w:rPr>
          <w:rFonts w:hint="eastAsia"/>
        </w:rPr>
      </w:pPr>
      <w:r>
        <w:rPr>
          <w:rFonts w:hint="eastAsia"/>
        </w:rPr>
        <w:t>风险识别：经营风险是指生产经营的不确定性带来的风险。若项目投入运营后的产生的收入未能达到预测值，将影响项目整体收益，对债券还本付息产生影响。</w:t>
      </w:r>
    </w:p>
    <w:p>
      <w:pPr>
        <w:rPr>
          <w:rFonts w:hint="eastAsia"/>
        </w:rPr>
      </w:pPr>
      <w:r>
        <w:rPr>
          <w:rFonts w:hint="eastAsia"/>
        </w:rPr>
        <w:t>风险控制措施：要求项目管理单位密切关注相关行业的定价情况，保证还本付息资金。因项目取得的政府性基金预算收入暂时难以实现，不能偿还到期债券本金时，可在专项债务限额内发行相关专项债券周转偿还，项目收入实现后予以归还。</w:t>
      </w:r>
    </w:p>
    <w:p>
      <w:pPr>
        <w:rPr>
          <w:rFonts w:hint="eastAsia"/>
        </w:rPr>
      </w:pPr>
      <w:r>
        <w:rPr>
          <w:rFonts w:hint="eastAsia"/>
        </w:rPr>
        <w:t>2.市场风险</w:t>
      </w:r>
    </w:p>
    <w:p>
      <w:pPr>
        <w:rPr>
          <w:rFonts w:hint="eastAsia"/>
        </w:rPr>
      </w:pPr>
      <w:r>
        <w:rPr>
          <w:rFonts w:hint="eastAsia"/>
        </w:rPr>
        <w:t>风险识别：在专项债券存续期内，国际、国内宏观经济环境的变化，国家经济政策变动等因素会引起债务资本市场利率的波动，市场利率波动将会对本项目的财务成本产生一定影响，进而影响项目投资收益的平衡。</w:t>
      </w:r>
    </w:p>
    <w:p>
      <w:pPr>
        <w:rPr>
          <w:rFonts w:hint="eastAsia"/>
        </w:rPr>
      </w:pPr>
      <w:r>
        <w:rPr>
          <w:rFonts w:hint="eastAsia"/>
        </w:rPr>
        <w:t>风险控制措施：要求项目单位合理安排债券发行金额和债券期限，做好债券的期限配比、还款计划和资金准备。密切关注宏观经济市场，充分与市场机构沟通，选择合适的发行窗口，降低财务成本，保证项目收益与融资平衡。</w:t>
      </w:r>
    </w:p>
    <w:p>
      <w:pPr>
        <w:rPr>
          <w:rFonts w:hint="eastAsia"/>
        </w:rPr>
      </w:pPr>
      <w:r>
        <w:rPr>
          <w:rFonts w:hint="eastAsia"/>
        </w:rPr>
        <w:t>3.财务风险</w:t>
      </w:r>
    </w:p>
    <w:p>
      <w:pPr>
        <w:rPr>
          <w:rFonts w:hint="eastAsia"/>
        </w:rPr>
      </w:pPr>
      <w:r>
        <w:rPr>
          <w:rFonts w:hint="eastAsia"/>
        </w:rPr>
        <w:t>风险识别：由于项目建设周期较长，如果在项目建设过程中，受市场因素影响，项目施工所需的原材料价格上涨，将导致项目施工成本增加，财务负担加重，进而影响项目建设进度，以及项目建设期内专项债券的利息兑付，因此面临一定财务风险。</w:t>
      </w:r>
    </w:p>
    <w:p>
      <w:r>
        <w:rPr>
          <w:rFonts w:hint="eastAsia"/>
        </w:rPr>
        <w:t>风险控制措施：项目可行性研究报告编制过程中，在测算项目总投资时已考虑相关风险。同时，在项目建设过程中，加强项目施工预算管理、招标及合同管理，尽可能控制建设成本。</w:t>
      </w:r>
    </w:p>
    <w:p>
      <w:pPr>
        <w:pStyle w:val="3"/>
        <w:spacing w:before="0" w:beforeLines="0" w:after="0" w:afterLines="0"/>
        <w:ind w:firstLine="643"/>
        <w:rPr>
          <w:rFonts w:hint="eastAsia"/>
        </w:rPr>
      </w:pPr>
      <w:bookmarkStart w:id="245" w:name="_Toc49947218"/>
      <w:bookmarkStart w:id="246" w:name="_Toc27992"/>
      <w:bookmarkStart w:id="247" w:name="_Toc19165"/>
      <w:bookmarkStart w:id="248" w:name="_Toc8777"/>
      <w:bookmarkStart w:id="249" w:name="_Toc49947304"/>
      <w:bookmarkStart w:id="250" w:name="_Toc31872"/>
      <w:bookmarkStart w:id="251" w:name="_Toc129257262"/>
      <w:bookmarkStart w:id="252" w:name="_Toc13893"/>
      <w:bookmarkStart w:id="253" w:name="_Toc17289"/>
      <w:bookmarkStart w:id="254" w:name="_Toc6618"/>
      <w:bookmarkStart w:id="255" w:name="_Toc27206"/>
      <w:r>
        <w:rPr>
          <w:rFonts w:hint="eastAsia"/>
          <w:lang w:eastAsia="zh-CN"/>
        </w:rPr>
        <w:t>七</w:t>
      </w:r>
      <w:r>
        <w:rPr>
          <w:rFonts w:hint="eastAsia"/>
        </w:rPr>
        <w:t>、还款保障措施</w:t>
      </w:r>
      <w:bookmarkEnd w:id="245"/>
      <w:bookmarkEnd w:id="246"/>
      <w:bookmarkEnd w:id="247"/>
      <w:bookmarkEnd w:id="248"/>
      <w:bookmarkEnd w:id="249"/>
      <w:bookmarkEnd w:id="250"/>
      <w:bookmarkEnd w:id="251"/>
      <w:bookmarkEnd w:id="252"/>
      <w:bookmarkEnd w:id="253"/>
      <w:bookmarkEnd w:id="254"/>
      <w:bookmarkEnd w:id="255"/>
    </w:p>
    <w:p>
      <w:pPr>
        <w:rPr>
          <w:rFonts w:hint="eastAsia"/>
        </w:rPr>
      </w:pPr>
      <w:r>
        <w:rPr>
          <w:rFonts w:hint="eastAsia"/>
        </w:rPr>
        <w:t>按照《国务院办公厅关于印发地方政府性债务风险应急处置预案的通知》（国办函〔2016〕88号）规定，本级政府对地方政府债券依法承担全部偿还责任。本级财政将按照《财政部关于印发&lt;地方政府专项债务预算管理办法&gt;的通知》（财预〔2016〕155号）规定，及时按照转贷协议约定逐级向省财政缴纳本级应当承担的还本付息资金，由省财政按照合同约定及时偿还专项债券到期本息。如偿债出现困难，将通过调减投资计划、处置可变现资产、调整预算支出结构等方式筹集资金偿还债务。未按时足额向省财政缴纳专项债券还本付息资金的,省财政采取适当方式扣回。</w:t>
      </w:r>
    </w:p>
    <w:p>
      <w:pPr>
        <w:pStyle w:val="3"/>
        <w:numPr>
          <w:ilvl w:val="0"/>
          <w:numId w:val="7"/>
        </w:numPr>
        <w:spacing w:before="0" w:beforeLines="0" w:after="0" w:afterLines="0"/>
        <w:ind w:firstLine="643"/>
        <w:rPr>
          <w:rFonts w:hint="eastAsia"/>
        </w:rPr>
      </w:pPr>
      <w:bookmarkStart w:id="256" w:name="_Toc16868"/>
      <w:bookmarkStart w:id="257" w:name="_Toc21235"/>
      <w:bookmarkStart w:id="258" w:name="_Toc6273"/>
      <w:bookmarkStart w:id="259" w:name="_Toc49947305"/>
      <w:bookmarkStart w:id="260" w:name="_Toc12047"/>
      <w:bookmarkStart w:id="261" w:name="_Toc24609"/>
      <w:bookmarkStart w:id="262" w:name="_Toc2495"/>
      <w:bookmarkStart w:id="263" w:name="_Toc24269"/>
      <w:bookmarkStart w:id="264" w:name="_Toc49947219"/>
      <w:bookmarkStart w:id="265" w:name="_Toc129257263"/>
      <w:bookmarkStart w:id="266" w:name="_Toc11419"/>
      <w:r>
        <w:rPr>
          <w:rFonts w:hint="eastAsia"/>
        </w:rPr>
        <w:t>主管部门和项目单位职责</w:t>
      </w:r>
      <w:bookmarkEnd w:id="256"/>
      <w:bookmarkEnd w:id="257"/>
      <w:bookmarkEnd w:id="258"/>
      <w:bookmarkEnd w:id="259"/>
      <w:bookmarkEnd w:id="260"/>
      <w:bookmarkEnd w:id="261"/>
      <w:bookmarkEnd w:id="262"/>
      <w:bookmarkEnd w:id="263"/>
      <w:bookmarkEnd w:id="264"/>
      <w:bookmarkEnd w:id="265"/>
      <w:bookmarkEnd w:id="266"/>
    </w:p>
    <w:p>
      <w:pPr>
        <w:bidi w:val="0"/>
        <w:rPr>
          <w:rFonts w:hint="eastAsia"/>
        </w:rPr>
      </w:pPr>
      <w:r>
        <w:rPr>
          <w:rFonts w:hint="eastAsia"/>
        </w:rPr>
        <w:t>本项目主管部门是</w:t>
      </w:r>
      <w:r>
        <w:rPr>
          <w:rFonts w:hint="eastAsia"/>
          <w:lang w:eastAsia="zh-CN"/>
        </w:rPr>
        <w:t>自贡市交通运输局</w:t>
      </w:r>
      <w:r>
        <w:rPr>
          <w:rFonts w:hint="eastAsia"/>
        </w:rPr>
        <w:t>，将按照该项目已编制的实施方案，配合筹集财政资金和项目专项债券资金，按照相关管理要求认真审核该项目资金需求，配合做好该项目专项债券发行各项准备工作，结合已建立的项目跟踪和资金审批机制，全力推进项目的实施，并做好与对应的专项债券还本付息的衔接，确保专项债券到期后，项目收入或收益全部覆盖已发行债券本息。项目运行过程中，主管部门将主动披露项目施工期间的施工进度、项目收益专项债券资金使用情况、项目运营期间的收支情况等信息。在债券资金管理方面，行业主管部门将会履行项目建设运营管理责任，加强成本控制，确保项目形成的专项收入应收尽收，并按照规定及时足额上交。年终时，行业主管部门配合财政部门编制项目收益债券收支决算，在政府性基金预算报告中全面、准确反映项目收益专项债券收入、支出、还本付息、发行费用、取得的收入等情况。债券对应资产管理方面，主管部门将会协同财政部门将本项目形成的资产纳入国有资产管理，建立相应的资产登记和统计报告制度，加强资产日常统计和动态监控。</w:t>
      </w:r>
    </w:p>
    <w:p>
      <w:pPr>
        <w:bidi w:val="0"/>
        <w:rPr>
          <w:rFonts w:hint="eastAsia"/>
        </w:rPr>
      </w:pPr>
      <w:r>
        <w:rPr>
          <w:rFonts w:hint="eastAsia"/>
          <w:lang w:val="en-US" w:eastAsia="zh-CN"/>
        </w:rPr>
        <w:t>自贡市公交集团有限责任公司是项目业主，作为项目业主单位，自贡市公交集团有限责任公司按要求</w:t>
      </w:r>
      <w:r>
        <w:rPr>
          <w:rFonts w:hint="eastAsia"/>
        </w:rPr>
        <w:t>提出专项债券项目需求申请，编制报送项目实施方案及相关资料，配合做好债券发行准备。规范使用债券资金，及时形成支出，提高资金使用效益。定期评估项目成本、预期收益和对应资产价值等，发现风险或异常情况及时向主管部门报告。编制专项债券收支、偿还计划并纳入单位年度预算管理，将债券项目收入及时足额缴入国库。做好数据填报、信息公开等相关工作。</w:t>
      </w:r>
    </w:p>
    <w:p>
      <w:pPr>
        <w:pStyle w:val="3"/>
        <w:numPr>
          <w:ilvl w:val="0"/>
          <w:numId w:val="7"/>
        </w:numPr>
        <w:spacing w:before="120" w:after="120"/>
        <w:ind w:left="0" w:leftChars="0" w:firstLine="562" w:firstLineChars="200"/>
        <w:rPr>
          <w:rFonts w:hint="eastAsia" w:ascii="宋体" w:hAnsi="宋体" w:cs="宋体"/>
          <w:kern w:val="0"/>
          <w:szCs w:val="32"/>
        </w:rPr>
      </w:pPr>
      <w:r>
        <w:rPr>
          <w:rFonts w:hint="eastAsia" w:ascii="宋体" w:hAnsi="宋体" w:cs="宋体"/>
          <w:kern w:val="0"/>
          <w:szCs w:val="32"/>
        </w:rPr>
        <w:t>补充说明</w:t>
      </w:r>
    </w:p>
    <w:p>
      <w:pPr>
        <w:bidi w:val="0"/>
        <w:rPr>
          <w:rFonts w:hint="eastAsia"/>
        </w:rPr>
      </w:pPr>
      <w:r>
        <w:rPr>
          <w:rFonts w:hint="eastAsia"/>
        </w:rPr>
        <w:t>根据发行计划及额度安排,此项目2025年</w:t>
      </w:r>
      <w:r>
        <w:rPr>
          <w:rFonts w:hint="eastAsia"/>
          <w:lang w:val="en-US" w:eastAsia="zh-CN"/>
        </w:rPr>
        <w:t>已</w:t>
      </w:r>
      <w:r>
        <w:rPr>
          <w:rFonts w:hint="eastAsia"/>
        </w:rPr>
        <w:t>申请发行</w:t>
      </w:r>
      <w:r>
        <w:rPr>
          <w:rFonts w:hint="eastAsia"/>
          <w:lang w:val="en-US" w:eastAsia="zh-CN"/>
        </w:rPr>
        <w:t>11759</w:t>
      </w:r>
      <w:r>
        <w:rPr>
          <w:rFonts w:hint="eastAsia"/>
        </w:rPr>
        <w:t>.00万元，本次拟发行</w:t>
      </w:r>
      <w:r>
        <w:rPr>
          <w:rFonts w:hint="eastAsia"/>
          <w:lang w:val="en-US" w:eastAsia="zh-CN"/>
        </w:rPr>
        <w:t>8</w:t>
      </w:r>
      <w:bookmarkStart w:id="267" w:name="_GoBack"/>
      <w:bookmarkEnd w:id="267"/>
      <w:r>
        <w:rPr>
          <w:rFonts w:hint="eastAsia"/>
          <w:lang w:val="en-US" w:eastAsia="zh-CN"/>
        </w:rPr>
        <w:t>000</w:t>
      </w:r>
      <w:r>
        <w:rPr>
          <w:rFonts w:hint="eastAsia"/>
        </w:rPr>
        <w:t>.00万元，期限</w:t>
      </w:r>
      <w:r>
        <w:rPr>
          <w:rFonts w:hint="eastAsia"/>
          <w:lang w:val="en-US" w:eastAsia="zh-CN"/>
        </w:rPr>
        <w:t>10</w:t>
      </w:r>
      <w:r>
        <w:rPr>
          <w:rFonts w:hint="eastAsia"/>
        </w:rPr>
        <w:t>年。该项目实施内容及收益来源未发生变动，在不超过项目债券总需求情况下，债券跨年发行对项目整体融资平衡不构成实质影响。</w:t>
      </w:r>
    </w:p>
    <w:p>
      <w:pPr>
        <w:bidi w:val="0"/>
        <w:rPr>
          <w:rFonts w:hint="eastAsia"/>
        </w:rPr>
      </w:pPr>
      <w:r>
        <w:rPr>
          <w:rFonts w:hint="eastAsia"/>
        </w:rPr>
        <w:t>根据专项债券项目调整计划及额度安排，在债券期限与项目期限不完全匹配的情况下，将通过已形成的项目收益等方式及时偿还到期专项债券本息。</w:t>
      </w:r>
    </w:p>
    <w:p>
      <w:pPr>
        <w:spacing w:line="560" w:lineRule="exact"/>
        <w:ind w:firstLine="630"/>
      </w:pPr>
    </w:p>
    <w:sectPr>
      <w:pgSz w:w="11910" w:h="16840"/>
      <w:pgMar w:top="1440" w:right="1803" w:bottom="1440" w:left="1803" w:header="0" w:footer="1009" w:gutter="0"/>
      <w:cols w:space="0" w:num="1"/>
      <w:rtlGutter w:val="0"/>
      <w:docGrid w:linePitch="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12B8E2A-A61C-4CA2-B938-D93772C99A0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embedRegular r:id="rId2" w:fontKey="{36E415DE-0ACD-4250-9AFC-2A834A037F6A}"/>
  </w:font>
  <w:font w:name="楷体">
    <w:panose1 w:val="02010609060101010101"/>
    <w:charset w:val="86"/>
    <w:family w:val="auto"/>
    <w:pitch w:val="default"/>
    <w:sig w:usb0="800002BF" w:usb1="38CF7CFA" w:usb2="00000016" w:usb3="00000000" w:csb0="00040001" w:csb1="00000000"/>
  </w:font>
  <w:font w:name="Book Antiqua">
    <w:panose1 w:val="02040602050305030304"/>
    <w:charset w:val="00"/>
    <w:family w:val="roman"/>
    <w:pitch w:val="default"/>
    <w:sig w:usb0="00000287" w:usb1="00000000" w:usb2="00000000" w:usb3="00000000" w:csb0="2000009F" w:csb1="DFD70000"/>
  </w:font>
  <w:font w:name="华文楷体">
    <w:panose1 w:val="02010600040101010101"/>
    <w:charset w:val="86"/>
    <w:family w:val="auto"/>
    <w:pitch w:val="default"/>
    <w:sig w:usb0="00000287" w:usb1="080F0000" w:usb2="00000000" w:usb3="00000000" w:csb0="0004009F" w:csb1="DFD70000"/>
  </w:font>
  <w:font w:name="LF_Kai">
    <w:altName w:val="Segoe Print"/>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仿宋_GB2312">
    <w:altName w:val="仿宋"/>
    <w:panose1 w:val="02010609030101010101"/>
    <w:charset w:val="86"/>
    <w:family w:val="auto"/>
    <w:pitch w:val="default"/>
    <w:sig w:usb0="00000000" w:usb1="00000000" w:usb2="0000000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Cambria">
    <w:panose1 w:val="02040503050406030204"/>
    <w:charset w:val="00"/>
    <w:family w:val="roman"/>
    <w:pitch w:val="default"/>
    <w:sig w:usb0="E00006FF" w:usb1="420024FF" w:usb2="02000000" w:usb3="00000000" w:csb0="2000019F" w:csb1="00000000"/>
  </w:font>
  <w:font w:name="方正仿宋简体">
    <w:altName w:val="微软雅黑"/>
    <w:panose1 w:val="00000000000000000000"/>
    <w:charset w:val="86"/>
    <w:family w:val="script"/>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Tahoma">
    <w:panose1 w:val="020B0604030504040204"/>
    <w:charset w:val="00"/>
    <w:family w:val="swiss"/>
    <w:pitch w:val="default"/>
    <w:sig w:usb0="E1002EFF" w:usb1="C000605B" w:usb2="00000029" w:usb3="00000000" w:csb0="200101FF" w:csb1="20280000"/>
  </w:font>
  <w:font w:name="ˎ̥">
    <w:altName w:val="微软雅黑"/>
    <w:panose1 w:val="00000000000000000000"/>
    <w:charset w:val="00"/>
    <w:family w:val="roman"/>
    <w:pitch w:val="default"/>
    <w:sig w:usb0="00000000" w:usb1="00000000" w:usb2="00000000" w:usb3="00000000" w:csb0="00040001" w:csb1="00000000"/>
  </w:font>
  <w:font w:name="Microsoft YaHei UI">
    <w:panose1 w:val="020B0503020204020204"/>
    <w:charset w:val="86"/>
    <w:family w:val="swiss"/>
    <w:pitch w:val="default"/>
    <w:sig w:usb0="80000287" w:usb1="2ACF3C50" w:usb2="00000016" w:usb3="00000000" w:csb0="0004001F" w:csb1="00000000"/>
  </w:font>
  <w:font w:name="方正书宋_GBK">
    <w:altName w:val="微软雅黑"/>
    <w:panose1 w:val="02000000000000000000"/>
    <w:charset w:val="86"/>
    <w:family w:val="auto"/>
    <w:pitch w:val="default"/>
    <w:sig w:usb0="00000000" w:usb1="00000000" w:usb2="00000000" w:usb3="00000000" w:csb0="00040000" w:csb1="00000000"/>
  </w:font>
  <w:font w:name="方正仿宋_GB2312">
    <w:panose1 w:val="02000000000000000000"/>
    <w:charset w:val="86"/>
    <w:family w:val="auto"/>
    <w:pitch w:val="default"/>
    <w:sig w:usb0="A00002BF" w:usb1="184F6CFA" w:usb2="00000012" w:usb3="00000000" w:csb0="00040001" w:csb1="00000000"/>
    <w:embedRegular r:id="rId3" w:fontKey="{BD6C1A7B-BB36-4727-B020-86E60D221D83}"/>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2"/>
      <w:spacing w:before="120" w:after="120"/>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7" name="文本框 5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2"/>
                            <w:spacing w:before="120" w:after="120"/>
                            <w:ind w:firstLine="360"/>
                          </w:pPr>
                          <w:r>
                            <w:rPr>
                              <w:rFonts w:hint="eastAsia"/>
                            </w:rPr>
                            <w:fldChar w:fldCharType="begin"/>
                          </w:r>
                          <w:r>
                            <w:rPr>
                              <w:rFonts w:hint="eastAsia"/>
                            </w:rPr>
                            <w:instrText xml:space="preserve"> PAGE  \* MERGEFORMAT </w:instrText>
                          </w:r>
                          <w:r>
                            <w:rPr>
                              <w:rFonts w:hint="eastAsia"/>
                            </w:rPr>
                            <w:fldChar w:fldCharType="separate"/>
                          </w:r>
                          <w:r>
                            <w:t>96</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3VycEtAgAAVwQAAA4AAABkcnMvZTJvRG9jLnhtbK1UzY7TMBC+I/EO&#10;lu80adEu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69oU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A3VycEtAgAAVwQAAA4AAAAAAAAAAQAgAAAAHwEAAGRycy9lMm9Eb2MueG1sUEsFBgAAAAAG&#10;AAYAWQEAAL4FAAAAAA==&#10;">
              <v:fill on="f" focussize="0,0"/>
              <v:stroke on="f" weight="0.5pt"/>
              <v:imagedata o:title=""/>
              <o:lock v:ext="edit" aspectratio="f"/>
              <v:textbox inset="0mm,0mm,0mm,0mm" style="mso-fit-shape-to-text:t;">
                <w:txbxContent>
                  <w:p>
                    <w:pPr>
                      <w:pStyle w:val="32"/>
                      <w:spacing w:before="120" w:after="120"/>
                      <w:ind w:firstLine="360"/>
                    </w:pPr>
                    <w:r>
                      <w:rPr>
                        <w:rFonts w:hint="eastAsia"/>
                      </w:rPr>
                      <w:fldChar w:fldCharType="begin"/>
                    </w:r>
                    <w:r>
                      <w:rPr>
                        <w:rFonts w:hint="eastAsia"/>
                      </w:rPr>
                      <w:instrText xml:space="preserve"> PAGE  \* MERGEFORMAT </w:instrText>
                    </w:r>
                    <w:r>
                      <w:rPr>
                        <w:rFonts w:hint="eastAsia"/>
                      </w:rPr>
                      <w:fldChar w:fldCharType="separate"/>
                    </w:r>
                    <w:r>
                      <w:t>96</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3"/>
      <w:ind w:firstLine="0" w:firstLineChars="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10FA483"/>
    <w:multiLevelType w:val="singleLevel"/>
    <w:tmpl w:val="910FA483"/>
    <w:lvl w:ilvl="0" w:tentative="0">
      <w:start w:val="2"/>
      <w:numFmt w:val="chineseCounting"/>
      <w:suff w:val="nothing"/>
      <w:lvlText w:val="（%1）"/>
      <w:lvlJc w:val="left"/>
      <w:rPr>
        <w:rFonts w:hint="eastAsia"/>
      </w:rPr>
    </w:lvl>
  </w:abstractNum>
  <w:abstractNum w:abstractNumId="1">
    <w:nsid w:val="C0149610"/>
    <w:multiLevelType w:val="singleLevel"/>
    <w:tmpl w:val="C0149610"/>
    <w:lvl w:ilvl="0" w:tentative="0">
      <w:start w:val="2"/>
      <w:numFmt w:val="chineseCounting"/>
      <w:suff w:val="nothing"/>
      <w:lvlText w:val="（%1）"/>
      <w:lvlJc w:val="left"/>
      <w:rPr>
        <w:rFonts w:hint="eastAsia"/>
      </w:rPr>
    </w:lvl>
  </w:abstractNum>
  <w:abstractNum w:abstractNumId="2">
    <w:nsid w:val="C4313D2D"/>
    <w:multiLevelType w:val="singleLevel"/>
    <w:tmpl w:val="C4313D2D"/>
    <w:lvl w:ilvl="0" w:tentative="0">
      <w:start w:val="1"/>
      <w:numFmt w:val="chineseCounting"/>
      <w:pStyle w:val="21"/>
      <w:suff w:val="nothing"/>
      <w:lvlText w:val="（%1）"/>
      <w:lvlJc w:val="left"/>
      <w:rPr>
        <w:rFonts w:hint="eastAsia"/>
      </w:rPr>
    </w:lvl>
  </w:abstractNum>
  <w:abstractNum w:abstractNumId="3">
    <w:nsid w:val="06609D94"/>
    <w:multiLevelType w:val="singleLevel"/>
    <w:tmpl w:val="06609D94"/>
    <w:lvl w:ilvl="0" w:tentative="0">
      <w:start w:val="8"/>
      <w:numFmt w:val="chineseCounting"/>
      <w:suff w:val="nothing"/>
      <w:lvlText w:val="%1、"/>
      <w:lvlJc w:val="left"/>
      <w:rPr>
        <w:rFonts w:hint="eastAsia"/>
      </w:rPr>
    </w:lvl>
  </w:abstractNum>
  <w:abstractNum w:abstractNumId="4">
    <w:nsid w:val="4B083161"/>
    <w:multiLevelType w:val="singleLevel"/>
    <w:tmpl w:val="4B083161"/>
    <w:lvl w:ilvl="0" w:tentative="0">
      <w:start w:val="1"/>
      <w:numFmt w:val="decimal"/>
      <w:lvlText w:val="%1."/>
      <w:lvlJc w:val="left"/>
      <w:pPr>
        <w:tabs>
          <w:tab w:val="left" w:pos="312"/>
        </w:tabs>
      </w:pPr>
    </w:lvl>
  </w:abstractNum>
  <w:abstractNum w:abstractNumId="5">
    <w:nsid w:val="59386868"/>
    <w:multiLevelType w:val="singleLevel"/>
    <w:tmpl w:val="59386868"/>
    <w:lvl w:ilvl="0" w:tentative="0">
      <w:start w:val="2"/>
      <w:numFmt w:val="decimal"/>
      <w:pStyle w:val="17"/>
      <w:suff w:val="nothing"/>
      <w:lvlText w:val="（%1）"/>
      <w:lvlJc w:val="left"/>
    </w:lvl>
  </w:abstractNum>
  <w:abstractNum w:abstractNumId="6">
    <w:nsid w:val="5E5DE4B3"/>
    <w:multiLevelType w:val="singleLevel"/>
    <w:tmpl w:val="5E5DE4B3"/>
    <w:lvl w:ilvl="0" w:tentative="0">
      <w:start w:val="2"/>
      <w:numFmt w:val="chineseCounting"/>
      <w:pStyle w:val="24"/>
      <w:suff w:val="nothing"/>
      <w:lvlText w:val="（%1）"/>
      <w:lvlJc w:val="left"/>
    </w:lvl>
  </w:abstractNum>
  <w:num w:numId="1">
    <w:abstractNumId w:val="5"/>
  </w:num>
  <w:num w:numId="2">
    <w:abstractNumId w:val="2"/>
  </w:num>
  <w:num w:numId="3">
    <w:abstractNumId w:val="6"/>
  </w:num>
  <w:num w:numId="4">
    <w:abstractNumId w:val="0"/>
  </w:num>
  <w:num w:numId="5">
    <w:abstractNumId w:val="1"/>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hideSpellingErrors/>
  <w:documentProtection w:enforcement="0"/>
  <w:defaultTabStop w:val="420"/>
  <w:drawingGridHorizontalSpacing w:val="160"/>
  <w:drawingGridVerticalSpacing w:val="435"/>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hiYzk1NTUyYzc5ODRlNjFiODIxYzZmMzUyZjY2YjMifQ=="/>
  </w:docVars>
  <w:rsids>
    <w:rsidRoot w:val="47F7438B"/>
    <w:rsid w:val="000031C4"/>
    <w:rsid w:val="000132BD"/>
    <w:rsid w:val="00014520"/>
    <w:rsid w:val="00015540"/>
    <w:rsid w:val="00020098"/>
    <w:rsid w:val="000232CE"/>
    <w:rsid w:val="00023BFE"/>
    <w:rsid w:val="00025827"/>
    <w:rsid w:val="00026B54"/>
    <w:rsid w:val="0002774A"/>
    <w:rsid w:val="00030845"/>
    <w:rsid w:val="0003400D"/>
    <w:rsid w:val="00034434"/>
    <w:rsid w:val="0004458C"/>
    <w:rsid w:val="000459CD"/>
    <w:rsid w:val="00046842"/>
    <w:rsid w:val="00046A4E"/>
    <w:rsid w:val="00050E6D"/>
    <w:rsid w:val="00061981"/>
    <w:rsid w:val="00061FFA"/>
    <w:rsid w:val="00064B76"/>
    <w:rsid w:val="00066B09"/>
    <w:rsid w:val="000710D9"/>
    <w:rsid w:val="000716EF"/>
    <w:rsid w:val="00073807"/>
    <w:rsid w:val="00085819"/>
    <w:rsid w:val="00093C1D"/>
    <w:rsid w:val="00093F72"/>
    <w:rsid w:val="00097109"/>
    <w:rsid w:val="00097EB6"/>
    <w:rsid w:val="000A0F14"/>
    <w:rsid w:val="000A1968"/>
    <w:rsid w:val="000A1B36"/>
    <w:rsid w:val="000A5737"/>
    <w:rsid w:val="000A574E"/>
    <w:rsid w:val="000A6653"/>
    <w:rsid w:val="000B3350"/>
    <w:rsid w:val="000B3810"/>
    <w:rsid w:val="000C16C1"/>
    <w:rsid w:val="000C1FE7"/>
    <w:rsid w:val="000C4969"/>
    <w:rsid w:val="000C4CF7"/>
    <w:rsid w:val="000D16E3"/>
    <w:rsid w:val="000D38B4"/>
    <w:rsid w:val="000D5455"/>
    <w:rsid w:val="000E04BC"/>
    <w:rsid w:val="000E79EF"/>
    <w:rsid w:val="000F4974"/>
    <w:rsid w:val="000F7615"/>
    <w:rsid w:val="00100189"/>
    <w:rsid w:val="00100C05"/>
    <w:rsid w:val="00100F96"/>
    <w:rsid w:val="00100FE5"/>
    <w:rsid w:val="001042DC"/>
    <w:rsid w:val="00106F4C"/>
    <w:rsid w:val="001136AC"/>
    <w:rsid w:val="00114279"/>
    <w:rsid w:val="001166F7"/>
    <w:rsid w:val="00117A82"/>
    <w:rsid w:val="001201CD"/>
    <w:rsid w:val="001249B7"/>
    <w:rsid w:val="001252C8"/>
    <w:rsid w:val="001336DD"/>
    <w:rsid w:val="00133F0E"/>
    <w:rsid w:val="00135BFC"/>
    <w:rsid w:val="00137B88"/>
    <w:rsid w:val="00143DC9"/>
    <w:rsid w:val="0015409E"/>
    <w:rsid w:val="001605AB"/>
    <w:rsid w:val="0016130A"/>
    <w:rsid w:val="001672B2"/>
    <w:rsid w:val="0017172E"/>
    <w:rsid w:val="0017354F"/>
    <w:rsid w:val="00173926"/>
    <w:rsid w:val="00174B6D"/>
    <w:rsid w:val="001764A1"/>
    <w:rsid w:val="00177795"/>
    <w:rsid w:val="00182D7B"/>
    <w:rsid w:val="00186CE0"/>
    <w:rsid w:val="001879D0"/>
    <w:rsid w:val="00192FCB"/>
    <w:rsid w:val="00193DB1"/>
    <w:rsid w:val="001971CF"/>
    <w:rsid w:val="001A34DD"/>
    <w:rsid w:val="001A3692"/>
    <w:rsid w:val="001A5143"/>
    <w:rsid w:val="001A7E5D"/>
    <w:rsid w:val="001B43EB"/>
    <w:rsid w:val="001B4A2A"/>
    <w:rsid w:val="001B5BA9"/>
    <w:rsid w:val="001C1025"/>
    <w:rsid w:val="001C1210"/>
    <w:rsid w:val="001C4500"/>
    <w:rsid w:val="001C641D"/>
    <w:rsid w:val="001C7720"/>
    <w:rsid w:val="001C7CDF"/>
    <w:rsid w:val="001D15A7"/>
    <w:rsid w:val="001D21CE"/>
    <w:rsid w:val="001D4F33"/>
    <w:rsid w:val="001D583D"/>
    <w:rsid w:val="001E1754"/>
    <w:rsid w:val="001F16BA"/>
    <w:rsid w:val="00201421"/>
    <w:rsid w:val="00201A34"/>
    <w:rsid w:val="002020A7"/>
    <w:rsid w:val="00204F9B"/>
    <w:rsid w:val="0020537F"/>
    <w:rsid w:val="00207635"/>
    <w:rsid w:val="002122F5"/>
    <w:rsid w:val="002126A8"/>
    <w:rsid w:val="00214B27"/>
    <w:rsid w:val="002159E4"/>
    <w:rsid w:val="002174D1"/>
    <w:rsid w:val="0022044C"/>
    <w:rsid w:val="0022576C"/>
    <w:rsid w:val="00226481"/>
    <w:rsid w:val="00227A39"/>
    <w:rsid w:val="002324B2"/>
    <w:rsid w:val="002425CF"/>
    <w:rsid w:val="00245F3B"/>
    <w:rsid w:val="00246EA6"/>
    <w:rsid w:val="00254077"/>
    <w:rsid w:val="00255D1F"/>
    <w:rsid w:val="00257DA8"/>
    <w:rsid w:val="00257E0C"/>
    <w:rsid w:val="0026532E"/>
    <w:rsid w:val="00265F5F"/>
    <w:rsid w:val="002701CC"/>
    <w:rsid w:val="00273945"/>
    <w:rsid w:val="00281FB4"/>
    <w:rsid w:val="002832C8"/>
    <w:rsid w:val="00284A5B"/>
    <w:rsid w:val="002858DB"/>
    <w:rsid w:val="00286B4D"/>
    <w:rsid w:val="00294485"/>
    <w:rsid w:val="00296051"/>
    <w:rsid w:val="002A04C0"/>
    <w:rsid w:val="002A20C4"/>
    <w:rsid w:val="002A6823"/>
    <w:rsid w:val="002A7956"/>
    <w:rsid w:val="002B2481"/>
    <w:rsid w:val="002B35C1"/>
    <w:rsid w:val="002B4FF5"/>
    <w:rsid w:val="002B51F6"/>
    <w:rsid w:val="002C05C9"/>
    <w:rsid w:val="002C2A75"/>
    <w:rsid w:val="002D085B"/>
    <w:rsid w:val="002D3373"/>
    <w:rsid w:val="002D5378"/>
    <w:rsid w:val="002D7466"/>
    <w:rsid w:val="002E0B94"/>
    <w:rsid w:val="002E0E31"/>
    <w:rsid w:val="002E2166"/>
    <w:rsid w:val="002E32F0"/>
    <w:rsid w:val="002E436D"/>
    <w:rsid w:val="002F2482"/>
    <w:rsid w:val="002F368B"/>
    <w:rsid w:val="002F40ED"/>
    <w:rsid w:val="002F656D"/>
    <w:rsid w:val="00301A8A"/>
    <w:rsid w:val="00301B71"/>
    <w:rsid w:val="003026BE"/>
    <w:rsid w:val="00304C90"/>
    <w:rsid w:val="003052D0"/>
    <w:rsid w:val="00307BCD"/>
    <w:rsid w:val="00314397"/>
    <w:rsid w:val="003157EF"/>
    <w:rsid w:val="0031697C"/>
    <w:rsid w:val="00316F95"/>
    <w:rsid w:val="00320F9C"/>
    <w:rsid w:val="00327F7B"/>
    <w:rsid w:val="00340C13"/>
    <w:rsid w:val="0034416E"/>
    <w:rsid w:val="00344827"/>
    <w:rsid w:val="0034640F"/>
    <w:rsid w:val="00347FCC"/>
    <w:rsid w:val="00355896"/>
    <w:rsid w:val="00356398"/>
    <w:rsid w:val="0035721D"/>
    <w:rsid w:val="003601D6"/>
    <w:rsid w:val="00360C08"/>
    <w:rsid w:val="0037667C"/>
    <w:rsid w:val="00380689"/>
    <w:rsid w:val="00386851"/>
    <w:rsid w:val="00386B24"/>
    <w:rsid w:val="00397ADB"/>
    <w:rsid w:val="003A0E96"/>
    <w:rsid w:val="003A1DC1"/>
    <w:rsid w:val="003A23A5"/>
    <w:rsid w:val="003A3904"/>
    <w:rsid w:val="003A4F62"/>
    <w:rsid w:val="003B0CCB"/>
    <w:rsid w:val="003B2071"/>
    <w:rsid w:val="003B2ABC"/>
    <w:rsid w:val="003B5EB6"/>
    <w:rsid w:val="003C02B2"/>
    <w:rsid w:val="003D0F9C"/>
    <w:rsid w:val="003D2FB9"/>
    <w:rsid w:val="003D3DFE"/>
    <w:rsid w:val="003D55D3"/>
    <w:rsid w:val="003E1648"/>
    <w:rsid w:val="003E1921"/>
    <w:rsid w:val="003E19AE"/>
    <w:rsid w:val="004064B7"/>
    <w:rsid w:val="00411031"/>
    <w:rsid w:val="004114C6"/>
    <w:rsid w:val="00411B3E"/>
    <w:rsid w:val="00412C1B"/>
    <w:rsid w:val="00413CF3"/>
    <w:rsid w:val="0041516F"/>
    <w:rsid w:val="00417D10"/>
    <w:rsid w:val="00430484"/>
    <w:rsid w:val="0043137A"/>
    <w:rsid w:val="00435463"/>
    <w:rsid w:val="00436727"/>
    <w:rsid w:val="004372F7"/>
    <w:rsid w:val="004374ED"/>
    <w:rsid w:val="00441AAF"/>
    <w:rsid w:val="00442F74"/>
    <w:rsid w:val="00443BC1"/>
    <w:rsid w:val="0044762F"/>
    <w:rsid w:val="00450449"/>
    <w:rsid w:val="00452F23"/>
    <w:rsid w:val="00454680"/>
    <w:rsid w:val="00454C80"/>
    <w:rsid w:val="00467A95"/>
    <w:rsid w:val="004706F8"/>
    <w:rsid w:val="00471F61"/>
    <w:rsid w:val="0047449E"/>
    <w:rsid w:val="004748E7"/>
    <w:rsid w:val="00475AEB"/>
    <w:rsid w:val="0047797E"/>
    <w:rsid w:val="00477C0D"/>
    <w:rsid w:val="0048121F"/>
    <w:rsid w:val="00482C3A"/>
    <w:rsid w:val="00484CFB"/>
    <w:rsid w:val="004863D4"/>
    <w:rsid w:val="004867F7"/>
    <w:rsid w:val="00494DD4"/>
    <w:rsid w:val="00497B46"/>
    <w:rsid w:val="004A0065"/>
    <w:rsid w:val="004A37A8"/>
    <w:rsid w:val="004A5149"/>
    <w:rsid w:val="004A59D3"/>
    <w:rsid w:val="004A6BAB"/>
    <w:rsid w:val="004A7EFF"/>
    <w:rsid w:val="004B1A77"/>
    <w:rsid w:val="004B1B68"/>
    <w:rsid w:val="004B6599"/>
    <w:rsid w:val="004B6C7D"/>
    <w:rsid w:val="004C1FB5"/>
    <w:rsid w:val="004C566D"/>
    <w:rsid w:val="004C6252"/>
    <w:rsid w:val="004C7278"/>
    <w:rsid w:val="004D05C4"/>
    <w:rsid w:val="004D4D70"/>
    <w:rsid w:val="004E1547"/>
    <w:rsid w:val="004E5CA7"/>
    <w:rsid w:val="004E677C"/>
    <w:rsid w:val="004E7D54"/>
    <w:rsid w:val="004F1B1B"/>
    <w:rsid w:val="004F2936"/>
    <w:rsid w:val="004F3B36"/>
    <w:rsid w:val="004F5D52"/>
    <w:rsid w:val="0050182C"/>
    <w:rsid w:val="005047A0"/>
    <w:rsid w:val="00505936"/>
    <w:rsid w:val="00511299"/>
    <w:rsid w:val="005118DA"/>
    <w:rsid w:val="00513AD8"/>
    <w:rsid w:val="00516B3E"/>
    <w:rsid w:val="00521A65"/>
    <w:rsid w:val="0053197E"/>
    <w:rsid w:val="00533187"/>
    <w:rsid w:val="00537E94"/>
    <w:rsid w:val="00540388"/>
    <w:rsid w:val="0054192D"/>
    <w:rsid w:val="00541B72"/>
    <w:rsid w:val="00543D49"/>
    <w:rsid w:val="00544178"/>
    <w:rsid w:val="00546F31"/>
    <w:rsid w:val="00547710"/>
    <w:rsid w:val="00552189"/>
    <w:rsid w:val="00552B1C"/>
    <w:rsid w:val="00557347"/>
    <w:rsid w:val="005578EF"/>
    <w:rsid w:val="00560A7E"/>
    <w:rsid w:val="00560E2F"/>
    <w:rsid w:val="00567DC0"/>
    <w:rsid w:val="0057022A"/>
    <w:rsid w:val="00572138"/>
    <w:rsid w:val="00572391"/>
    <w:rsid w:val="00574208"/>
    <w:rsid w:val="005744F0"/>
    <w:rsid w:val="0057659C"/>
    <w:rsid w:val="005830EA"/>
    <w:rsid w:val="005862A5"/>
    <w:rsid w:val="00591C76"/>
    <w:rsid w:val="00595C71"/>
    <w:rsid w:val="005A4FDE"/>
    <w:rsid w:val="005B3597"/>
    <w:rsid w:val="005B4CA1"/>
    <w:rsid w:val="005B7B18"/>
    <w:rsid w:val="005B7C05"/>
    <w:rsid w:val="005C012C"/>
    <w:rsid w:val="005C0479"/>
    <w:rsid w:val="005C121F"/>
    <w:rsid w:val="005C5218"/>
    <w:rsid w:val="005D1274"/>
    <w:rsid w:val="005D1A30"/>
    <w:rsid w:val="005D48A7"/>
    <w:rsid w:val="005D52A3"/>
    <w:rsid w:val="005D6E8E"/>
    <w:rsid w:val="005E0711"/>
    <w:rsid w:val="005E0966"/>
    <w:rsid w:val="005E297B"/>
    <w:rsid w:val="005F1CA3"/>
    <w:rsid w:val="0060032D"/>
    <w:rsid w:val="00602706"/>
    <w:rsid w:val="0060346E"/>
    <w:rsid w:val="00605043"/>
    <w:rsid w:val="00607993"/>
    <w:rsid w:val="00613CC9"/>
    <w:rsid w:val="00621F19"/>
    <w:rsid w:val="0062433D"/>
    <w:rsid w:val="006367ED"/>
    <w:rsid w:val="00641033"/>
    <w:rsid w:val="00641A15"/>
    <w:rsid w:val="00642DAE"/>
    <w:rsid w:val="0064390A"/>
    <w:rsid w:val="00645A88"/>
    <w:rsid w:val="00646006"/>
    <w:rsid w:val="006475DD"/>
    <w:rsid w:val="0065092D"/>
    <w:rsid w:val="006510FC"/>
    <w:rsid w:val="0065335B"/>
    <w:rsid w:val="0065639E"/>
    <w:rsid w:val="006611E8"/>
    <w:rsid w:val="00662F78"/>
    <w:rsid w:val="006662A3"/>
    <w:rsid w:val="006704D5"/>
    <w:rsid w:val="006722FE"/>
    <w:rsid w:val="00672CFC"/>
    <w:rsid w:val="0067629A"/>
    <w:rsid w:val="00676F0D"/>
    <w:rsid w:val="00681E8F"/>
    <w:rsid w:val="00690360"/>
    <w:rsid w:val="0069067F"/>
    <w:rsid w:val="00691F57"/>
    <w:rsid w:val="006948CC"/>
    <w:rsid w:val="006A0483"/>
    <w:rsid w:val="006A1001"/>
    <w:rsid w:val="006A66D1"/>
    <w:rsid w:val="006B0805"/>
    <w:rsid w:val="006B36FB"/>
    <w:rsid w:val="006D03C9"/>
    <w:rsid w:val="006D5E59"/>
    <w:rsid w:val="006E16C5"/>
    <w:rsid w:val="006E1FC5"/>
    <w:rsid w:val="006E28A7"/>
    <w:rsid w:val="006E3378"/>
    <w:rsid w:val="006E5342"/>
    <w:rsid w:val="006E6A88"/>
    <w:rsid w:val="006F081B"/>
    <w:rsid w:val="006F1F07"/>
    <w:rsid w:val="006F2B64"/>
    <w:rsid w:val="00703BF1"/>
    <w:rsid w:val="00706BEF"/>
    <w:rsid w:val="0072135E"/>
    <w:rsid w:val="00727E18"/>
    <w:rsid w:val="00730BF4"/>
    <w:rsid w:val="00732276"/>
    <w:rsid w:val="007343F1"/>
    <w:rsid w:val="00734ED3"/>
    <w:rsid w:val="007357A5"/>
    <w:rsid w:val="007359F0"/>
    <w:rsid w:val="00741265"/>
    <w:rsid w:val="007422DA"/>
    <w:rsid w:val="007470BE"/>
    <w:rsid w:val="0075034A"/>
    <w:rsid w:val="007517E5"/>
    <w:rsid w:val="00751D80"/>
    <w:rsid w:val="007549F3"/>
    <w:rsid w:val="0076269D"/>
    <w:rsid w:val="00764772"/>
    <w:rsid w:val="00767BA5"/>
    <w:rsid w:val="0078145B"/>
    <w:rsid w:val="00782CCC"/>
    <w:rsid w:val="00786843"/>
    <w:rsid w:val="0078689E"/>
    <w:rsid w:val="00787923"/>
    <w:rsid w:val="00791892"/>
    <w:rsid w:val="00791C33"/>
    <w:rsid w:val="00791DC5"/>
    <w:rsid w:val="00794499"/>
    <w:rsid w:val="00794E73"/>
    <w:rsid w:val="00795B1B"/>
    <w:rsid w:val="007A2D5F"/>
    <w:rsid w:val="007A405B"/>
    <w:rsid w:val="007A4E29"/>
    <w:rsid w:val="007A6D4D"/>
    <w:rsid w:val="007B218B"/>
    <w:rsid w:val="007B5193"/>
    <w:rsid w:val="007C0689"/>
    <w:rsid w:val="007C52D7"/>
    <w:rsid w:val="007C60A6"/>
    <w:rsid w:val="007C71AA"/>
    <w:rsid w:val="007C795B"/>
    <w:rsid w:val="007D0EFB"/>
    <w:rsid w:val="007D29CB"/>
    <w:rsid w:val="007D2B84"/>
    <w:rsid w:val="007D2F12"/>
    <w:rsid w:val="007D62C1"/>
    <w:rsid w:val="007E0888"/>
    <w:rsid w:val="007E090B"/>
    <w:rsid w:val="007E3795"/>
    <w:rsid w:val="007E480A"/>
    <w:rsid w:val="007F1024"/>
    <w:rsid w:val="007F6B48"/>
    <w:rsid w:val="0080272B"/>
    <w:rsid w:val="00804BCE"/>
    <w:rsid w:val="00807297"/>
    <w:rsid w:val="008075AA"/>
    <w:rsid w:val="00807BD6"/>
    <w:rsid w:val="00810929"/>
    <w:rsid w:val="00810EDE"/>
    <w:rsid w:val="00811570"/>
    <w:rsid w:val="008123D6"/>
    <w:rsid w:val="00813117"/>
    <w:rsid w:val="00820AA4"/>
    <w:rsid w:val="0082365C"/>
    <w:rsid w:val="00830DF1"/>
    <w:rsid w:val="00831804"/>
    <w:rsid w:val="00835E60"/>
    <w:rsid w:val="00841C1F"/>
    <w:rsid w:val="00842053"/>
    <w:rsid w:val="00846176"/>
    <w:rsid w:val="00852F0B"/>
    <w:rsid w:val="00855FA6"/>
    <w:rsid w:val="008614FE"/>
    <w:rsid w:val="00862B5E"/>
    <w:rsid w:val="00867227"/>
    <w:rsid w:val="00871B8F"/>
    <w:rsid w:val="0087637A"/>
    <w:rsid w:val="008813C0"/>
    <w:rsid w:val="0088146E"/>
    <w:rsid w:val="00881CF7"/>
    <w:rsid w:val="00883105"/>
    <w:rsid w:val="00892B6F"/>
    <w:rsid w:val="00892DAE"/>
    <w:rsid w:val="00893B49"/>
    <w:rsid w:val="008A157B"/>
    <w:rsid w:val="008A4162"/>
    <w:rsid w:val="008B3089"/>
    <w:rsid w:val="008B46A1"/>
    <w:rsid w:val="008B59A5"/>
    <w:rsid w:val="008B5BA1"/>
    <w:rsid w:val="008C3F94"/>
    <w:rsid w:val="008D1042"/>
    <w:rsid w:val="008D163A"/>
    <w:rsid w:val="008D26DD"/>
    <w:rsid w:val="008E14C3"/>
    <w:rsid w:val="008E1AE9"/>
    <w:rsid w:val="008E536F"/>
    <w:rsid w:val="00901698"/>
    <w:rsid w:val="009054F0"/>
    <w:rsid w:val="00905D59"/>
    <w:rsid w:val="00906E0F"/>
    <w:rsid w:val="00907CAB"/>
    <w:rsid w:val="00910DEE"/>
    <w:rsid w:val="009112DC"/>
    <w:rsid w:val="00911C43"/>
    <w:rsid w:val="00911EA2"/>
    <w:rsid w:val="009131A6"/>
    <w:rsid w:val="00914583"/>
    <w:rsid w:val="00916669"/>
    <w:rsid w:val="00926D57"/>
    <w:rsid w:val="00927D1C"/>
    <w:rsid w:val="00930A5D"/>
    <w:rsid w:val="00932537"/>
    <w:rsid w:val="009349F9"/>
    <w:rsid w:val="0093546E"/>
    <w:rsid w:val="009354C8"/>
    <w:rsid w:val="00935C66"/>
    <w:rsid w:val="009365A4"/>
    <w:rsid w:val="00937FDC"/>
    <w:rsid w:val="0094355A"/>
    <w:rsid w:val="009468AB"/>
    <w:rsid w:val="00951E3C"/>
    <w:rsid w:val="009525DD"/>
    <w:rsid w:val="00954293"/>
    <w:rsid w:val="00955F8A"/>
    <w:rsid w:val="00962454"/>
    <w:rsid w:val="00965B70"/>
    <w:rsid w:val="00966168"/>
    <w:rsid w:val="00970E7F"/>
    <w:rsid w:val="009717F7"/>
    <w:rsid w:val="00972585"/>
    <w:rsid w:val="009743F9"/>
    <w:rsid w:val="00974919"/>
    <w:rsid w:val="00974CC4"/>
    <w:rsid w:val="009819BB"/>
    <w:rsid w:val="009956E0"/>
    <w:rsid w:val="009959FC"/>
    <w:rsid w:val="00995AF6"/>
    <w:rsid w:val="009A3FC3"/>
    <w:rsid w:val="009A47D6"/>
    <w:rsid w:val="009A6456"/>
    <w:rsid w:val="009A77A4"/>
    <w:rsid w:val="009B13C0"/>
    <w:rsid w:val="009B1F51"/>
    <w:rsid w:val="009B3E1F"/>
    <w:rsid w:val="009B452E"/>
    <w:rsid w:val="009C007B"/>
    <w:rsid w:val="009C1985"/>
    <w:rsid w:val="009C416A"/>
    <w:rsid w:val="009C5BEF"/>
    <w:rsid w:val="009C5E2C"/>
    <w:rsid w:val="009C6056"/>
    <w:rsid w:val="009C7056"/>
    <w:rsid w:val="009C7E78"/>
    <w:rsid w:val="009D12F2"/>
    <w:rsid w:val="009D182E"/>
    <w:rsid w:val="009D6EC8"/>
    <w:rsid w:val="009D7ECD"/>
    <w:rsid w:val="009E30EA"/>
    <w:rsid w:val="009E32B8"/>
    <w:rsid w:val="009E3EC8"/>
    <w:rsid w:val="009E57E2"/>
    <w:rsid w:val="009E5ABF"/>
    <w:rsid w:val="009E68CA"/>
    <w:rsid w:val="009E7EB5"/>
    <w:rsid w:val="009F2097"/>
    <w:rsid w:val="009F5B57"/>
    <w:rsid w:val="009F7585"/>
    <w:rsid w:val="00A00DA8"/>
    <w:rsid w:val="00A04CE0"/>
    <w:rsid w:val="00A05318"/>
    <w:rsid w:val="00A11D47"/>
    <w:rsid w:val="00A15F4F"/>
    <w:rsid w:val="00A21F9F"/>
    <w:rsid w:val="00A259AC"/>
    <w:rsid w:val="00A25CA8"/>
    <w:rsid w:val="00A32302"/>
    <w:rsid w:val="00A42846"/>
    <w:rsid w:val="00A46405"/>
    <w:rsid w:val="00A51C45"/>
    <w:rsid w:val="00A524E4"/>
    <w:rsid w:val="00A55630"/>
    <w:rsid w:val="00A57B0D"/>
    <w:rsid w:val="00A60F29"/>
    <w:rsid w:val="00A618CB"/>
    <w:rsid w:val="00A61F74"/>
    <w:rsid w:val="00A728C4"/>
    <w:rsid w:val="00A76F6E"/>
    <w:rsid w:val="00A807EE"/>
    <w:rsid w:val="00A8169C"/>
    <w:rsid w:val="00A82E7B"/>
    <w:rsid w:val="00A848B3"/>
    <w:rsid w:val="00A848DD"/>
    <w:rsid w:val="00A858EC"/>
    <w:rsid w:val="00A916BE"/>
    <w:rsid w:val="00A93CD2"/>
    <w:rsid w:val="00AA2012"/>
    <w:rsid w:val="00AA2513"/>
    <w:rsid w:val="00AA2FEE"/>
    <w:rsid w:val="00AA397A"/>
    <w:rsid w:val="00AA3BC5"/>
    <w:rsid w:val="00AA4625"/>
    <w:rsid w:val="00AA552A"/>
    <w:rsid w:val="00AA7697"/>
    <w:rsid w:val="00AB021B"/>
    <w:rsid w:val="00AB13E1"/>
    <w:rsid w:val="00AB3466"/>
    <w:rsid w:val="00AB3D1C"/>
    <w:rsid w:val="00AB4758"/>
    <w:rsid w:val="00AB7C57"/>
    <w:rsid w:val="00AC0AC0"/>
    <w:rsid w:val="00AC1168"/>
    <w:rsid w:val="00AC1951"/>
    <w:rsid w:val="00AC2932"/>
    <w:rsid w:val="00AC64BC"/>
    <w:rsid w:val="00AD3BD5"/>
    <w:rsid w:val="00AE0817"/>
    <w:rsid w:val="00AE1250"/>
    <w:rsid w:val="00AF015E"/>
    <w:rsid w:val="00AF0B72"/>
    <w:rsid w:val="00AF1775"/>
    <w:rsid w:val="00B0514E"/>
    <w:rsid w:val="00B058B1"/>
    <w:rsid w:val="00B05B75"/>
    <w:rsid w:val="00B060A0"/>
    <w:rsid w:val="00B14003"/>
    <w:rsid w:val="00B21297"/>
    <w:rsid w:val="00B21749"/>
    <w:rsid w:val="00B27ECD"/>
    <w:rsid w:val="00B33863"/>
    <w:rsid w:val="00B34228"/>
    <w:rsid w:val="00B403D8"/>
    <w:rsid w:val="00B437E9"/>
    <w:rsid w:val="00B441FE"/>
    <w:rsid w:val="00B5653F"/>
    <w:rsid w:val="00B5689C"/>
    <w:rsid w:val="00B67C3B"/>
    <w:rsid w:val="00B711FB"/>
    <w:rsid w:val="00B740A4"/>
    <w:rsid w:val="00B74D64"/>
    <w:rsid w:val="00B800C7"/>
    <w:rsid w:val="00B86FD2"/>
    <w:rsid w:val="00B91D6B"/>
    <w:rsid w:val="00BA000C"/>
    <w:rsid w:val="00BA55FB"/>
    <w:rsid w:val="00BA6EA9"/>
    <w:rsid w:val="00BA7D84"/>
    <w:rsid w:val="00BB01FC"/>
    <w:rsid w:val="00BB2369"/>
    <w:rsid w:val="00BB473E"/>
    <w:rsid w:val="00BB7DD4"/>
    <w:rsid w:val="00BC1347"/>
    <w:rsid w:val="00BD02BE"/>
    <w:rsid w:val="00BD2D56"/>
    <w:rsid w:val="00BE0344"/>
    <w:rsid w:val="00BE3717"/>
    <w:rsid w:val="00BE53C1"/>
    <w:rsid w:val="00BE6CDD"/>
    <w:rsid w:val="00BE6E1A"/>
    <w:rsid w:val="00BF2E05"/>
    <w:rsid w:val="00C005E6"/>
    <w:rsid w:val="00C019CF"/>
    <w:rsid w:val="00C02D15"/>
    <w:rsid w:val="00C03E9D"/>
    <w:rsid w:val="00C079BE"/>
    <w:rsid w:val="00C10BF8"/>
    <w:rsid w:val="00C11110"/>
    <w:rsid w:val="00C1179C"/>
    <w:rsid w:val="00C13784"/>
    <w:rsid w:val="00C13A10"/>
    <w:rsid w:val="00C15B84"/>
    <w:rsid w:val="00C1662D"/>
    <w:rsid w:val="00C17825"/>
    <w:rsid w:val="00C21A09"/>
    <w:rsid w:val="00C24A4E"/>
    <w:rsid w:val="00C25FE7"/>
    <w:rsid w:val="00C318A1"/>
    <w:rsid w:val="00C35DC9"/>
    <w:rsid w:val="00C36F88"/>
    <w:rsid w:val="00C37EF0"/>
    <w:rsid w:val="00C40164"/>
    <w:rsid w:val="00C45DA8"/>
    <w:rsid w:val="00C55B71"/>
    <w:rsid w:val="00C61B31"/>
    <w:rsid w:val="00C63876"/>
    <w:rsid w:val="00C70494"/>
    <w:rsid w:val="00C74E1C"/>
    <w:rsid w:val="00C74EA9"/>
    <w:rsid w:val="00C7517E"/>
    <w:rsid w:val="00C752B6"/>
    <w:rsid w:val="00C77A1C"/>
    <w:rsid w:val="00C8147D"/>
    <w:rsid w:val="00C8434D"/>
    <w:rsid w:val="00C87892"/>
    <w:rsid w:val="00C93EA1"/>
    <w:rsid w:val="00CA0023"/>
    <w:rsid w:val="00CA2958"/>
    <w:rsid w:val="00CA474B"/>
    <w:rsid w:val="00CB229E"/>
    <w:rsid w:val="00CB253F"/>
    <w:rsid w:val="00CB401A"/>
    <w:rsid w:val="00CB7313"/>
    <w:rsid w:val="00CC0634"/>
    <w:rsid w:val="00CC4D88"/>
    <w:rsid w:val="00CC6477"/>
    <w:rsid w:val="00CD12DE"/>
    <w:rsid w:val="00CD225C"/>
    <w:rsid w:val="00CD756E"/>
    <w:rsid w:val="00CE208B"/>
    <w:rsid w:val="00CE2DD5"/>
    <w:rsid w:val="00CE2FCF"/>
    <w:rsid w:val="00CE44C8"/>
    <w:rsid w:val="00CE6C49"/>
    <w:rsid w:val="00CE74C3"/>
    <w:rsid w:val="00CE7BA6"/>
    <w:rsid w:val="00CE7E3F"/>
    <w:rsid w:val="00CF1D17"/>
    <w:rsid w:val="00CF2BD3"/>
    <w:rsid w:val="00D00A17"/>
    <w:rsid w:val="00D04163"/>
    <w:rsid w:val="00D06184"/>
    <w:rsid w:val="00D12B5A"/>
    <w:rsid w:val="00D12D38"/>
    <w:rsid w:val="00D15E11"/>
    <w:rsid w:val="00D16F71"/>
    <w:rsid w:val="00D17984"/>
    <w:rsid w:val="00D26BA3"/>
    <w:rsid w:val="00D30403"/>
    <w:rsid w:val="00D31DAD"/>
    <w:rsid w:val="00D31E30"/>
    <w:rsid w:val="00D328C6"/>
    <w:rsid w:val="00D333A8"/>
    <w:rsid w:val="00D368AF"/>
    <w:rsid w:val="00D37DB1"/>
    <w:rsid w:val="00D51034"/>
    <w:rsid w:val="00D51A58"/>
    <w:rsid w:val="00D521CC"/>
    <w:rsid w:val="00D52695"/>
    <w:rsid w:val="00D52985"/>
    <w:rsid w:val="00D53D19"/>
    <w:rsid w:val="00D60CDB"/>
    <w:rsid w:val="00D63785"/>
    <w:rsid w:val="00D65669"/>
    <w:rsid w:val="00D758CE"/>
    <w:rsid w:val="00D802BB"/>
    <w:rsid w:val="00D81D36"/>
    <w:rsid w:val="00D84509"/>
    <w:rsid w:val="00D865F1"/>
    <w:rsid w:val="00D936DF"/>
    <w:rsid w:val="00DA5B9E"/>
    <w:rsid w:val="00DA63D7"/>
    <w:rsid w:val="00DB2A12"/>
    <w:rsid w:val="00DB2D8E"/>
    <w:rsid w:val="00DB45C1"/>
    <w:rsid w:val="00DB50E4"/>
    <w:rsid w:val="00DC2259"/>
    <w:rsid w:val="00DC2F1B"/>
    <w:rsid w:val="00DC3F6E"/>
    <w:rsid w:val="00DC594C"/>
    <w:rsid w:val="00DC5C75"/>
    <w:rsid w:val="00DD179A"/>
    <w:rsid w:val="00DD35FC"/>
    <w:rsid w:val="00DD5AF4"/>
    <w:rsid w:val="00DD6772"/>
    <w:rsid w:val="00DE19A9"/>
    <w:rsid w:val="00DE384D"/>
    <w:rsid w:val="00DE3EA1"/>
    <w:rsid w:val="00DE5EA6"/>
    <w:rsid w:val="00DF1167"/>
    <w:rsid w:val="00DF11C2"/>
    <w:rsid w:val="00DF2AFF"/>
    <w:rsid w:val="00DF2B73"/>
    <w:rsid w:val="00DF3FC7"/>
    <w:rsid w:val="00DF4043"/>
    <w:rsid w:val="00DF78EF"/>
    <w:rsid w:val="00E019A0"/>
    <w:rsid w:val="00E01ADA"/>
    <w:rsid w:val="00E14580"/>
    <w:rsid w:val="00E21A12"/>
    <w:rsid w:val="00E22FF6"/>
    <w:rsid w:val="00E23BB4"/>
    <w:rsid w:val="00E253BF"/>
    <w:rsid w:val="00E30B4D"/>
    <w:rsid w:val="00E318E6"/>
    <w:rsid w:val="00E408AB"/>
    <w:rsid w:val="00E5170C"/>
    <w:rsid w:val="00E5226A"/>
    <w:rsid w:val="00E54A29"/>
    <w:rsid w:val="00E56ABC"/>
    <w:rsid w:val="00E571D3"/>
    <w:rsid w:val="00E62CFE"/>
    <w:rsid w:val="00E62EF6"/>
    <w:rsid w:val="00E62FB2"/>
    <w:rsid w:val="00E63AE2"/>
    <w:rsid w:val="00E67A59"/>
    <w:rsid w:val="00E72CB8"/>
    <w:rsid w:val="00E7469A"/>
    <w:rsid w:val="00E80314"/>
    <w:rsid w:val="00E80740"/>
    <w:rsid w:val="00E8236F"/>
    <w:rsid w:val="00E92815"/>
    <w:rsid w:val="00E935EA"/>
    <w:rsid w:val="00E94349"/>
    <w:rsid w:val="00E94AA5"/>
    <w:rsid w:val="00E97642"/>
    <w:rsid w:val="00EA4459"/>
    <w:rsid w:val="00EA6757"/>
    <w:rsid w:val="00EB37DE"/>
    <w:rsid w:val="00EB4052"/>
    <w:rsid w:val="00EB4716"/>
    <w:rsid w:val="00EB6B23"/>
    <w:rsid w:val="00ED4E5F"/>
    <w:rsid w:val="00ED5AF3"/>
    <w:rsid w:val="00ED6468"/>
    <w:rsid w:val="00ED6FC9"/>
    <w:rsid w:val="00ED7437"/>
    <w:rsid w:val="00EE2A81"/>
    <w:rsid w:val="00EE46DE"/>
    <w:rsid w:val="00EE631C"/>
    <w:rsid w:val="00EE70A5"/>
    <w:rsid w:val="00EF5651"/>
    <w:rsid w:val="00F033B9"/>
    <w:rsid w:val="00F0507A"/>
    <w:rsid w:val="00F07B60"/>
    <w:rsid w:val="00F10749"/>
    <w:rsid w:val="00F114F7"/>
    <w:rsid w:val="00F127F4"/>
    <w:rsid w:val="00F13360"/>
    <w:rsid w:val="00F137D1"/>
    <w:rsid w:val="00F143B3"/>
    <w:rsid w:val="00F1732D"/>
    <w:rsid w:val="00F20B31"/>
    <w:rsid w:val="00F24ADF"/>
    <w:rsid w:val="00F2533B"/>
    <w:rsid w:val="00F26A29"/>
    <w:rsid w:val="00F27055"/>
    <w:rsid w:val="00F301D4"/>
    <w:rsid w:val="00F32A02"/>
    <w:rsid w:val="00F32D0B"/>
    <w:rsid w:val="00F531B7"/>
    <w:rsid w:val="00F53427"/>
    <w:rsid w:val="00F539D0"/>
    <w:rsid w:val="00F53A1A"/>
    <w:rsid w:val="00F558A9"/>
    <w:rsid w:val="00F63B38"/>
    <w:rsid w:val="00F63CAF"/>
    <w:rsid w:val="00F647D5"/>
    <w:rsid w:val="00F70AE6"/>
    <w:rsid w:val="00F70D22"/>
    <w:rsid w:val="00F71311"/>
    <w:rsid w:val="00F7280E"/>
    <w:rsid w:val="00F737B0"/>
    <w:rsid w:val="00F75B85"/>
    <w:rsid w:val="00F801FC"/>
    <w:rsid w:val="00F82342"/>
    <w:rsid w:val="00F86637"/>
    <w:rsid w:val="00F86DF9"/>
    <w:rsid w:val="00F8797C"/>
    <w:rsid w:val="00FA1A71"/>
    <w:rsid w:val="00FA24C5"/>
    <w:rsid w:val="00FA47F0"/>
    <w:rsid w:val="00FB0E31"/>
    <w:rsid w:val="00FB3B77"/>
    <w:rsid w:val="00FB3F2D"/>
    <w:rsid w:val="00FB6E91"/>
    <w:rsid w:val="00FC02B2"/>
    <w:rsid w:val="00FC19FD"/>
    <w:rsid w:val="00FC3B5A"/>
    <w:rsid w:val="00FD19FA"/>
    <w:rsid w:val="00FD4A71"/>
    <w:rsid w:val="00FD547C"/>
    <w:rsid w:val="00FE08C9"/>
    <w:rsid w:val="00FE1E45"/>
    <w:rsid w:val="00FF1EEC"/>
    <w:rsid w:val="00FF4B0C"/>
    <w:rsid w:val="00FF6E20"/>
    <w:rsid w:val="01AF0051"/>
    <w:rsid w:val="01B3074D"/>
    <w:rsid w:val="02021BF9"/>
    <w:rsid w:val="02C97CAF"/>
    <w:rsid w:val="03131985"/>
    <w:rsid w:val="033C25E2"/>
    <w:rsid w:val="038539CF"/>
    <w:rsid w:val="04744C08"/>
    <w:rsid w:val="04C70113"/>
    <w:rsid w:val="050C4A92"/>
    <w:rsid w:val="079E1C8E"/>
    <w:rsid w:val="07A539B7"/>
    <w:rsid w:val="07D433FC"/>
    <w:rsid w:val="092979B9"/>
    <w:rsid w:val="096509ED"/>
    <w:rsid w:val="09C6146A"/>
    <w:rsid w:val="0B270B26"/>
    <w:rsid w:val="0B9E42B5"/>
    <w:rsid w:val="0D021C2E"/>
    <w:rsid w:val="0D7272D3"/>
    <w:rsid w:val="0E2F4F9E"/>
    <w:rsid w:val="0F091AD0"/>
    <w:rsid w:val="0FA369BB"/>
    <w:rsid w:val="0FF176EF"/>
    <w:rsid w:val="103059FB"/>
    <w:rsid w:val="10E57436"/>
    <w:rsid w:val="10F13156"/>
    <w:rsid w:val="110E3E23"/>
    <w:rsid w:val="11814B6D"/>
    <w:rsid w:val="125107FE"/>
    <w:rsid w:val="12EC324C"/>
    <w:rsid w:val="149D6BF9"/>
    <w:rsid w:val="14EE3B40"/>
    <w:rsid w:val="15884ECB"/>
    <w:rsid w:val="16093289"/>
    <w:rsid w:val="177C6BD7"/>
    <w:rsid w:val="17846B1B"/>
    <w:rsid w:val="17BA056B"/>
    <w:rsid w:val="17E84D48"/>
    <w:rsid w:val="183F47F3"/>
    <w:rsid w:val="18BF138C"/>
    <w:rsid w:val="190560AD"/>
    <w:rsid w:val="195866C1"/>
    <w:rsid w:val="1AB612DE"/>
    <w:rsid w:val="1AD71DD4"/>
    <w:rsid w:val="1C4306F9"/>
    <w:rsid w:val="1D801314"/>
    <w:rsid w:val="1F716C93"/>
    <w:rsid w:val="1FBE5919"/>
    <w:rsid w:val="206C3F7C"/>
    <w:rsid w:val="21F86A37"/>
    <w:rsid w:val="22BA102E"/>
    <w:rsid w:val="25035E1C"/>
    <w:rsid w:val="251B0465"/>
    <w:rsid w:val="25577AA3"/>
    <w:rsid w:val="25CC5767"/>
    <w:rsid w:val="25F80750"/>
    <w:rsid w:val="2627544D"/>
    <w:rsid w:val="27817DC8"/>
    <w:rsid w:val="28717D47"/>
    <w:rsid w:val="29A86B5C"/>
    <w:rsid w:val="29BF6130"/>
    <w:rsid w:val="2A643C07"/>
    <w:rsid w:val="2A8075F7"/>
    <w:rsid w:val="2DD4488E"/>
    <w:rsid w:val="2EC75EB2"/>
    <w:rsid w:val="2F6A6CE7"/>
    <w:rsid w:val="30CA11F1"/>
    <w:rsid w:val="31B94097"/>
    <w:rsid w:val="32363D70"/>
    <w:rsid w:val="32473C66"/>
    <w:rsid w:val="342E3C23"/>
    <w:rsid w:val="35021726"/>
    <w:rsid w:val="355A41AF"/>
    <w:rsid w:val="36257FDE"/>
    <w:rsid w:val="364065D9"/>
    <w:rsid w:val="37EE0F4E"/>
    <w:rsid w:val="380E3418"/>
    <w:rsid w:val="383A09E4"/>
    <w:rsid w:val="38D50318"/>
    <w:rsid w:val="38EE089E"/>
    <w:rsid w:val="390D5D48"/>
    <w:rsid w:val="395A6213"/>
    <w:rsid w:val="3B7F4DE1"/>
    <w:rsid w:val="3BD979CB"/>
    <w:rsid w:val="3CC57C52"/>
    <w:rsid w:val="3D9928C3"/>
    <w:rsid w:val="3F451C73"/>
    <w:rsid w:val="3FBE3FA4"/>
    <w:rsid w:val="405C423C"/>
    <w:rsid w:val="40B45805"/>
    <w:rsid w:val="410157ED"/>
    <w:rsid w:val="42815043"/>
    <w:rsid w:val="4283073B"/>
    <w:rsid w:val="43175B64"/>
    <w:rsid w:val="44CB4F2C"/>
    <w:rsid w:val="45A80992"/>
    <w:rsid w:val="45F54214"/>
    <w:rsid w:val="47F7438B"/>
    <w:rsid w:val="483F42E6"/>
    <w:rsid w:val="48432786"/>
    <w:rsid w:val="48DA31D2"/>
    <w:rsid w:val="4A587C8A"/>
    <w:rsid w:val="4A657C2F"/>
    <w:rsid w:val="4A676327"/>
    <w:rsid w:val="4AF55A46"/>
    <w:rsid w:val="4B42077E"/>
    <w:rsid w:val="4B6B0F4E"/>
    <w:rsid w:val="4CE84ACA"/>
    <w:rsid w:val="4DFA30D5"/>
    <w:rsid w:val="4EA451BB"/>
    <w:rsid w:val="4F1832C2"/>
    <w:rsid w:val="4F6F1351"/>
    <w:rsid w:val="50ED1FC8"/>
    <w:rsid w:val="511300BE"/>
    <w:rsid w:val="51152307"/>
    <w:rsid w:val="52E779EC"/>
    <w:rsid w:val="532A08F5"/>
    <w:rsid w:val="53A7723D"/>
    <w:rsid w:val="53E41361"/>
    <w:rsid w:val="53F309BA"/>
    <w:rsid w:val="53FD7FC7"/>
    <w:rsid w:val="55314F12"/>
    <w:rsid w:val="55600406"/>
    <w:rsid w:val="563123F1"/>
    <w:rsid w:val="57217699"/>
    <w:rsid w:val="57747FD5"/>
    <w:rsid w:val="58156198"/>
    <w:rsid w:val="5B154986"/>
    <w:rsid w:val="5BA13663"/>
    <w:rsid w:val="5C865686"/>
    <w:rsid w:val="5FA770C8"/>
    <w:rsid w:val="60137DF7"/>
    <w:rsid w:val="60567DC7"/>
    <w:rsid w:val="606D56B6"/>
    <w:rsid w:val="607768CD"/>
    <w:rsid w:val="60A15485"/>
    <w:rsid w:val="60CA0B9A"/>
    <w:rsid w:val="611759A9"/>
    <w:rsid w:val="61432564"/>
    <w:rsid w:val="624276D2"/>
    <w:rsid w:val="62D847B6"/>
    <w:rsid w:val="635771C0"/>
    <w:rsid w:val="63CC234F"/>
    <w:rsid w:val="64BD6CE9"/>
    <w:rsid w:val="656F4A01"/>
    <w:rsid w:val="666439C5"/>
    <w:rsid w:val="66BC11F5"/>
    <w:rsid w:val="696810DE"/>
    <w:rsid w:val="697036C5"/>
    <w:rsid w:val="69A21E02"/>
    <w:rsid w:val="6A227650"/>
    <w:rsid w:val="6BC76482"/>
    <w:rsid w:val="6C986003"/>
    <w:rsid w:val="6CC15543"/>
    <w:rsid w:val="6D036D4E"/>
    <w:rsid w:val="6E641B01"/>
    <w:rsid w:val="6F8E2ACE"/>
    <w:rsid w:val="6FB10E5C"/>
    <w:rsid w:val="7043294C"/>
    <w:rsid w:val="704E38D4"/>
    <w:rsid w:val="704E3D20"/>
    <w:rsid w:val="709E11A8"/>
    <w:rsid w:val="70B83445"/>
    <w:rsid w:val="710D5DC3"/>
    <w:rsid w:val="71280532"/>
    <w:rsid w:val="716A2D22"/>
    <w:rsid w:val="72514D49"/>
    <w:rsid w:val="728C2A21"/>
    <w:rsid w:val="73AF44DD"/>
    <w:rsid w:val="73B13246"/>
    <w:rsid w:val="74493EEB"/>
    <w:rsid w:val="74594070"/>
    <w:rsid w:val="74977C85"/>
    <w:rsid w:val="74BF5CE3"/>
    <w:rsid w:val="7501698E"/>
    <w:rsid w:val="75F75B34"/>
    <w:rsid w:val="763834F6"/>
    <w:rsid w:val="770003B7"/>
    <w:rsid w:val="7751276D"/>
    <w:rsid w:val="77916537"/>
    <w:rsid w:val="77AE131A"/>
    <w:rsid w:val="78193E29"/>
    <w:rsid w:val="787A5331"/>
    <w:rsid w:val="78D1217A"/>
    <w:rsid w:val="79BE5607"/>
    <w:rsid w:val="7A064722"/>
    <w:rsid w:val="7A183123"/>
    <w:rsid w:val="7BB76384"/>
    <w:rsid w:val="7C414A8D"/>
    <w:rsid w:val="7D166558"/>
    <w:rsid w:val="7E906CDD"/>
    <w:rsid w:val="7EC16038"/>
    <w:rsid w:val="7F1D03F4"/>
    <w:rsid w:val="7F220216"/>
    <w:rsid w:val="7F5A26FB"/>
    <w:rsid w:val="7FCA5D46"/>
    <w:rsid w:val="7FFF5B77"/>
    <w:rsid w:val="FBFEAAF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iPriority="1" w:semiHidden="0" w:name="heading 2"/>
    <w:lsdException w:qFormat="1" w:uiPriority="1"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nhideWhenUsed="0" w:uiPriority="0" w:semiHidden="0" w:name="toc 1"/>
    <w:lsdException w:qFormat="1" w:unhideWhenUsed="0" w:uiPriority="0"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iPriority="0" w:name="index heading"/>
    <w:lsdException w:qFormat="1" w:unhideWhenUsed="0" w:uiPriority="0" w:semiHidden="0" w:name="caption"/>
    <w:lsdException w:qFormat="1" w:unhideWhenUsed="0" w:uiPriority="0" w:semiHidden="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qFormat="1" w:unhideWhenUsed="0" w:uiPriority="0" w:semiHidden="0" w:name="line number"/>
    <w:lsdException w:qFormat="1" w:unhideWhenUsed="0" w:uiPriority="0" w:semiHidden="0" w:name="page number"/>
    <w:lsdException w:uiPriority="0" w:name="endnote reference"/>
    <w:lsdException w:uiPriority="0" w:name="endnote text"/>
    <w:lsdException w:unhideWhenUsed="0" w:uiPriority="0" w:semiHidden="0" w:name="table of authorities"/>
    <w:lsdException w:uiPriority="0" w:name="macro"/>
    <w:lsdException w:uiPriority="0" w:name="toa heading"/>
    <w:lsdException w:unhideWhenUsed="0" w:uiPriority="0" w:semiHidden="0" w:name="List"/>
    <w:lsdException w:qFormat="1" w:unhideWhenUsed="0" w:uiPriority="0" w:semiHidden="0" w:name="List Bullet"/>
    <w:lsdException w:uiPriority="0" w:name="List Number"/>
    <w:lsdException w:uiPriority="0" w:name="List 2"/>
    <w:lsdException w:uiPriority="0" w:name="List 3"/>
    <w:lsdException w:uiPriority="0" w:name="List 4"/>
    <w:lsdException w:uiPriority="0" w:name="List 5"/>
    <w:lsdException w:qFormat="1" w:unhideWhenUsed="0" w:uiPriority="0" w:semiHidden="0" w:name="List Bullet 2"/>
    <w:lsdException w:qFormat="1" w:unhideWhenUsed="0" w:uiPriority="0" w:semiHidden="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1" w:semiHidden="0" w:name="Body Text"/>
    <w:lsdException w:qFormat="1" w:unhideWhenUsed="0" w:uiPriority="0" w:semiHidden="0" w:name="Body Text Indent"/>
    <w:lsdException w:uiPriority="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iPriority="0" w:name="Message Header"/>
    <w:lsdException w:qFormat="1" w:unhideWhenUsed="0" w:uiPriority="0" w:semiHidden="0" w:name="Subtitle"/>
    <w:lsdException w:qFormat="1" w:unhideWhenUsed="0" w:uiPriority="99"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0" w:name="Note Heading"/>
    <w:lsdException w:qFormat="1" w:uiPriority="99" w:semiHidden="0" w:name="Body Text 2"/>
    <w:lsdException w:uiPriority="0" w:name="Body Text 3"/>
    <w:lsdException w:qFormat="1" w:uiPriority="0" w:semiHidden="0" w:name="Body Text Indent 2"/>
    <w:lsdException w:qFormat="1" w:unhideWhenUsed="0" w:uiPriority="0" w:semiHidden="0" w:name="Body Text Indent 3"/>
    <w:lsdException w:qFormat="1"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qFormat="1" w:unhideWhenUsed="0" w:uiPriority="0" w:semiHidden="0" w:name="Plain Text"/>
    <w:lsdException w:uiPriority="0" w:name="E-mail Signature"/>
    <w:lsdException w:qFormat="1" w:unhideWhenUsed="0"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qFormat="1" w:unhideWhenUsed="0" w:uiPriority="0" w:semiHidden="0" w:name="HTML Preformatted"/>
    <w:lsdException w:uiPriority="0" w:name="HTML Sample"/>
    <w:lsdException w:qFormat="1" w:unhideWhenUsed="0" w:uiPriority="0" w:semiHidden="0" w:name="HTML Typewriter"/>
    <w:lsdException w:uiPriority="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200" w:firstLineChars="200"/>
      <w:jc w:val="both"/>
    </w:pPr>
    <w:rPr>
      <w:rFonts w:eastAsia="仿宋" w:cs="Times New Roman" w:asciiTheme="minorAscii" w:hAnsiTheme="minorAscii"/>
      <w:kern w:val="2"/>
      <w:sz w:val="28"/>
      <w:szCs w:val="24"/>
      <w:lang w:val="en-US" w:eastAsia="zh-CN" w:bidi="ar-SA"/>
    </w:rPr>
  </w:style>
  <w:style w:type="paragraph" w:styleId="3">
    <w:name w:val="heading 1"/>
    <w:basedOn w:val="1"/>
    <w:next w:val="1"/>
    <w:link w:val="62"/>
    <w:qFormat/>
    <w:uiPriority w:val="1"/>
    <w:pPr>
      <w:keepNext/>
      <w:keepLines/>
      <w:spacing w:before="50" w:beforeLines="50" w:after="50" w:afterLines="50"/>
      <w:ind w:firstLine="420"/>
      <w:outlineLvl w:val="0"/>
    </w:pPr>
    <w:rPr>
      <w:rFonts w:eastAsia="宋体"/>
      <w:b/>
      <w:bCs/>
      <w:kern w:val="44"/>
      <w:szCs w:val="44"/>
    </w:rPr>
  </w:style>
  <w:style w:type="paragraph" w:styleId="4">
    <w:name w:val="heading 2"/>
    <w:basedOn w:val="5"/>
    <w:next w:val="6"/>
    <w:link w:val="57"/>
    <w:unhideWhenUsed/>
    <w:qFormat/>
    <w:uiPriority w:val="1"/>
    <w:pPr>
      <w:jc w:val="left"/>
      <w:outlineLvl w:val="1"/>
    </w:pPr>
    <w:rPr>
      <w:rFonts w:ascii="Arial" w:hAnsi="Arial" w:eastAsia="楷体"/>
    </w:rPr>
  </w:style>
  <w:style w:type="paragraph" w:styleId="5">
    <w:name w:val="heading 3"/>
    <w:basedOn w:val="1"/>
    <w:next w:val="1"/>
    <w:link w:val="63"/>
    <w:unhideWhenUsed/>
    <w:qFormat/>
    <w:uiPriority w:val="1"/>
    <w:pPr>
      <w:keepNext/>
      <w:keepLines/>
      <w:spacing w:before="50" w:beforeLines="50" w:after="50" w:afterLines="50"/>
      <w:ind w:firstLine="420"/>
      <w:outlineLvl w:val="2"/>
    </w:pPr>
    <w:rPr>
      <w:b/>
      <w:bCs/>
      <w:szCs w:val="32"/>
    </w:rPr>
  </w:style>
  <w:style w:type="paragraph" w:styleId="8">
    <w:name w:val="heading 4"/>
    <w:basedOn w:val="1"/>
    <w:next w:val="1"/>
    <w:link w:val="65"/>
    <w:qFormat/>
    <w:uiPriority w:val="0"/>
    <w:pPr>
      <w:keepNext/>
      <w:keepLines/>
      <w:tabs>
        <w:tab w:val="left" w:pos="864"/>
      </w:tabs>
      <w:ind w:left="-13"/>
      <w:outlineLvl w:val="3"/>
    </w:pPr>
    <w:rPr>
      <w:rFonts w:ascii="Times New Roman" w:hAnsi="Times New Roman"/>
      <w:bCs/>
      <w:sz w:val="28"/>
      <w:szCs w:val="28"/>
    </w:rPr>
  </w:style>
  <w:style w:type="paragraph" w:styleId="9">
    <w:name w:val="heading 5"/>
    <w:basedOn w:val="1"/>
    <w:next w:val="1"/>
    <w:link w:val="66"/>
    <w:qFormat/>
    <w:uiPriority w:val="0"/>
    <w:pPr>
      <w:keepNext/>
      <w:keepLines/>
      <w:tabs>
        <w:tab w:val="left" w:pos="1008"/>
      </w:tabs>
      <w:ind w:left="-13"/>
      <w:outlineLvl w:val="4"/>
    </w:pPr>
    <w:rPr>
      <w:rFonts w:ascii="Times New Roman" w:hAnsi="Times New Roman"/>
      <w:bCs/>
      <w:sz w:val="28"/>
      <w:szCs w:val="28"/>
    </w:rPr>
  </w:style>
  <w:style w:type="paragraph" w:styleId="10">
    <w:name w:val="heading 6"/>
    <w:basedOn w:val="1"/>
    <w:next w:val="1"/>
    <w:link w:val="67"/>
    <w:qFormat/>
    <w:uiPriority w:val="0"/>
    <w:pPr>
      <w:jc w:val="center"/>
      <w:outlineLvl w:val="5"/>
    </w:pPr>
    <w:rPr>
      <w:rFonts w:ascii="Arial" w:hAnsi="Arial" w:eastAsia="黑体"/>
      <w:bCs/>
    </w:rPr>
  </w:style>
  <w:style w:type="paragraph" w:styleId="11">
    <w:name w:val="heading 7"/>
    <w:basedOn w:val="1"/>
    <w:next w:val="1"/>
    <w:link w:val="68"/>
    <w:qFormat/>
    <w:uiPriority w:val="0"/>
    <w:pPr>
      <w:keepNext/>
      <w:keepLines/>
      <w:tabs>
        <w:tab w:val="left" w:pos="1296"/>
      </w:tabs>
      <w:spacing w:before="240" w:after="64" w:line="320" w:lineRule="auto"/>
      <w:ind w:left="-13"/>
      <w:outlineLvl w:val="6"/>
    </w:pPr>
    <w:rPr>
      <w:rFonts w:ascii="Times New Roman" w:hAnsi="Times New Roman"/>
      <w:b/>
      <w:bCs/>
    </w:rPr>
  </w:style>
  <w:style w:type="paragraph" w:styleId="12">
    <w:name w:val="heading 8"/>
    <w:basedOn w:val="1"/>
    <w:next w:val="1"/>
    <w:link w:val="69"/>
    <w:qFormat/>
    <w:uiPriority w:val="0"/>
    <w:pPr>
      <w:keepNext/>
      <w:keepLines/>
      <w:tabs>
        <w:tab w:val="left" w:pos="1440"/>
      </w:tabs>
      <w:spacing w:before="240" w:after="64" w:line="320" w:lineRule="auto"/>
      <w:ind w:left="-13"/>
      <w:outlineLvl w:val="7"/>
    </w:pPr>
    <w:rPr>
      <w:rFonts w:ascii="Arial" w:hAnsi="Arial" w:eastAsia="黑体"/>
    </w:rPr>
  </w:style>
  <w:style w:type="paragraph" w:styleId="13">
    <w:name w:val="heading 9"/>
    <w:basedOn w:val="1"/>
    <w:next w:val="1"/>
    <w:link w:val="70"/>
    <w:qFormat/>
    <w:uiPriority w:val="0"/>
    <w:pPr>
      <w:keepNext/>
      <w:keepLines/>
      <w:tabs>
        <w:tab w:val="left" w:pos="1584"/>
      </w:tabs>
      <w:spacing w:before="240" w:after="64" w:line="320" w:lineRule="auto"/>
      <w:ind w:left="-13"/>
      <w:outlineLvl w:val="8"/>
    </w:pPr>
    <w:rPr>
      <w:rFonts w:ascii="Arial" w:hAnsi="Arial" w:eastAsia="黑体"/>
      <w:szCs w:val="21"/>
    </w:rPr>
  </w:style>
  <w:style w:type="character" w:default="1" w:styleId="48">
    <w:name w:val="Default Paragraph Font"/>
    <w:semiHidden/>
    <w:unhideWhenUsed/>
    <w:qFormat/>
    <w:uiPriority w:val="1"/>
  </w:style>
  <w:style w:type="table" w:default="1" w:styleId="46">
    <w:name w:val="Normal Table"/>
    <w:semiHidden/>
    <w:unhideWhenUsed/>
    <w:qFormat/>
    <w:uiPriority w:val="99"/>
    <w:tblPr>
      <w:tblCellMar>
        <w:top w:w="0" w:type="dxa"/>
        <w:left w:w="108" w:type="dxa"/>
        <w:bottom w:w="0" w:type="dxa"/>
        <w:right w:w="108" w:type="dxa"/>
      </w:tblCellMar>
    </w:tblPr>
  </w:style>
  <w:style w:type="paragraph" w:styleId="2">
    <w:name w:val="Normal (Web)"/>
    <w:basedOn w:val="1"/>
    <w:qFormat/>
    <w:uiPriority w:val="99"/>
    <w:pPr>
      <w:spacing w:before="100" w:beforeAutospacing="1" w:after="100" w:afterAutospacing="1"/>
      <w:jc w:val="left"/>
    </w:pPr>
    <w:rPr>
      <w:rFonts w:ascii="Book Antiqua" w:hAnsi="Book Antiqua"/>
      <w:kern w:val="0"/>
      <w:szCs w:val="21"/>
    </w:rPr>
  </w:style>
  <w:style w:type="paragraph" w:styleId="6">
    <w:name w:val="Body Text"/>
    <w:basedOn w:val="1"/>
    <w:next w:val="7"/>
    <w:link w:val="64"/>
    <w:qFormat/>
    <w:uiPriority w:val="1"/>
    <w:pPr>
      <w:widowControl/>
      <w:adjustRightInd w:val="0"/>
      <w:snapToGrid w:val="0"/>
      <w:spacing w:before="150" w:after="150" w:line="264" w:lineRule="auto"/>
      <w:ind w:firstLine="567"/>
    </w:pPr>
    <w:rPr>
      <w:rFonts w:ascii="华文楷体" w:hAnsi="华文楷体" w:eastAsia="LF_Kai"/>
      <w:kern w:val="0"/>
      <w:szCs w:val="20"/>
    </w:rPr>
  </w:style>
  <w:style w:type="paragraph" w:styleId="7">
    <w:name w:val="Body Text First Indent"/>
    <w:basedOn w:val="6"/>
    <w:next w:val="1"/>
    <w:link w:val="83"/>
    <w:autoRedefine/>
    <w:qFormat/>
    <w:uiPriority w:val="0"/>
    <w:pPr>
      <w:widowControl w:val="0"/>
      <w:adjustRightInd/>
      <w:snapToGrid/>
      <w:spacing w:before="0" w:after="120" w:line="240" w:lineRule="auto"/>
      <w:ind w:firstLine="420" w:firstLineChars="100"/>
    </w:pPr>
    <w:rPr>
      <w:rFonts w:ascii="微软雅黑" w:hAnsi="微软雅黑" w:eastAsia="宋体"/>
      <w:kern w:val="2"/>
      <w:sz w:val="21"/>
      <w:szCs w:val="21"/>
    </w:rPr>
  </w:style>
  <w:style w:type="paragraph" w:styleId="14">
    <w:name w:val="toc 7"/>
    <w:basedOn w:val="1"/>
    <w:next w:val="1"/>
    <w:unhideWhenUsed/>
    <w:qFormat/>
    <w:uiPriority w:val="39"/>
    <w:pPr>
      <w:ind w:left="2520" w:leftChars="1200"/>
    </w:pPr>
    <w:rPr>
      <w:rFonts w:eastAsiaTheme="minorEastAsia" w:cstheme="minorBidi"/>
      <w:szCs w:val="22"/>
    </w:rPr>
  </w:style>
  <w:style w:type="paragraph" w:styleId="15">
    <w:name w:val="Normal Indent"/>
    <w:basedOn w:val="1"/>
    <w:qFormat/>
    <w:uiPriority w:val="0"/>
    <w:pPr>
      <w:spacing w:line="240" w:lineRule="auto"/>
      <w:ind w:firstLine="420" w:firstLineChars="0"/>
    </w:pPr>
    <w:rPr>
      <w:rFonts w:ascii="Times New Roman" w:hAnsi="Times New Roman"/>
      <w:sz w:val="21"/>
      <w:szCs w:val="20"/>
    </w:rPr>
  </w:style>
  <w:style w:type="paragraph" w:styleId="16">
    <w:name w:val="caption"/>
    <w:basedOn w:val="1"/>
    <w:next w:val="1"/>
    <w:qFormat/>
    <w:uiPriority w:val="0"/>
    <w:pPr>
      <w:widowControl/>
      <w:spacing w:line="240" w:lineRule="auto"/>
      <w:ind w:firstLine="0" w:firstLineChars="0"/>
      <w:jc w:val="center"/>
    </w:pPr>
    <w:rPr>
      <w:rFonts w:ascii="黑体" w:hAnsi="黑体" w:eastAsia="黑体"/>
      <w:kern w:val="0"/>
      <w:szCs w:val="22"/>
      <w:lang w:eastAsia="en-US" w:bidi="en-US"/>
    </w:rPr>
  </w:style>
  <w:style w:type="paragraph" w:styleId="17">
    <w:name w:val="List Bullet"/>
    <w:basedOn w:val="1"/>
    <w:autoRedefine/>
    <w:qFormat/>
    <w:uiPriority w:val="0"/>
    <w:pPr>
      <w:numPr>
        <w:ilvl w:val="0"/>
        <w:numId w:val="1"/>
      </w:numPr>
      <w:tabs>
        <w:tab w:val="left" w:pos="360"/>
      </w:tabs>
      <w:spacing w:line="240" w:lineRule="auto"/>
      <w:ind w:firstLine="0" w:firstLineChars="0"/>
    </w:pPr>
    <w:rPr>
      <w:rFonts w:ascii="Times New Roman" w:hAnsi="Times New Roman"/>
      <w:sz w:val="21"/>
      <w:szCs w:val="21"/>
    </w:rPr>
  </w:style>
  <w:style w:type="paragraph" w:styleId="18">
    <w:name w:val="Document Map"/>
    <w:basedOn w:val="1"/>
    <w:link w:val="71"/>
    <w:qFormat/>
    <w:uiPriority w:val="0"/>
    <w:pPr>
      <w:shd w:val="clear" w:color="auto" w:fill="000080"/>
      <w:spacing w:line="240" w:lineRule="auto"/>
      <w:ind w:firstLine="0" w:firstLineChars="0"/>
    </w:pPr>
    <w:rPr>
      <w:rFonts w:ascii="Times New Roman" w:hAnsi="Times New Roman"/>
      <w:kern w:val="0"/>
      <w:sz w:val="20"/>
      <w:szCs w:val="21"/>
      <w:shd w:val="clear" w:color="auto" w:fill="000080"/>
    </w:rPr>
  </w:style>
  <w:style w:type="paragraph" w:styleId="19">
    <w:name w:val="annotation text"/>
    <w:basedOn w:val="1"/>
    <w:link w:val="72"/>
    <w:qFormat/>
    <w:uiPriority w:val="0"/>
    <w:pPr>
      <w:jc w:val="left"/>
    </w:pPr>
  </w:style>
  <w:style w:type="paragraph" w:styleId="20">
    <w:name w:val="Salutation"/>
    <w:basedOn w:val="1"/>
    <w:next w:val="1"/>
    <w:qFormat/>
    <w:uiPriority w:val="99"/>
    <w:rPr>
      <w:rFonts w:ascii="仿宋_GB2312" w:hAnsi="宋体"/>
      <w:bCs/>
      <w:szCs w:val="28"/>
    </w:rPr>
  </w:style>
  <w:style w:type="paragraph" w:styleId="21">
    <w:name w:val="List Bullet 3"/>
    <w:basedOn w:val="1"/>
    <w:qFormat/>
    <w:uiPriority w:val="0"/>
    <w:pPr>
      <w:numPr>
        <w:ilvl w:val="0"/>
        <w:numId w:val="2"/>
      </w:numPr>
      <w:tabs>
        <w:tab w:val="left" w:pos="1200"/>
      </w:tabs>
      <w:spacing w:line="240" w:lineRule="auto"/>
      <w:ind w:firstLine="0" w:firstLineChars="0"/>
    </w:pPr>
    <w:rPr>
      <w:rFonts w:ascii="Times New Roman" w:hAnsi="Times New Roman"/>
      <w:sz w:val="21"/>
      <w:szCs w:val="21"/>
    </w:rPr>
  </w:style>
  <w:style w:type="paragraph" w:styleId="22">
    <w:name w:val="Body Text Indent"/>
    <w:basedOn w:val="1"/>
    <w:link w:val="73"/>
    <w:qFormat/>
    <w:uiPriority w:val="0"/>
    <w:pPr>
      <w:widowControl/>
      <w:spacing w:after="120"/>
      <w:ind w:left="420" w:leftChars="200"/>
      <w:jc w:val="left"/>
    </w:pPr>
    <w:rPr>
      <w:rFonts w:ascii="宋体" w:hAnsi="宋体" w:cs="宋体"/>
      <w:kern w:val="0"/>
    </w:rPr>
  </w:style>
  <w:style w:type="paragraph" w:styleId="23">
    <w:name w:val="Block Text"/>
    <w:basedOn w:val="1"/>
    <w:qFormat/>
    <w:uiPriority w:val="0"/>
    <w:pPr>
      <w:adjustRightInd w:val="0"/>
      <w:snapToGrid w:val="0"/>
      <w:ind w:left="1" w:right="-23" w:firstLine="530" w:firstLineChars="221"/>
      <w:textAlignment w:val="baseline"/>
    </w:pPr>
    <w:rPr>
      <w:rFonts w:ascii="Arial" w:hAnsi="Arial"/>
      <w:kern w:val="28"/>
      <w:szCs w:val="20"/>
    </w:rPr>
  </w:style>
  <w:style w:type="paragraph" w:styleId="24">
    <w:name w:val="List Bullet 2"/>
    <w:basedOn w:val="1"/>
    <w:qFormat/>
    <w:uiPriority w:val="0"/>
    <w:pPr>
      <w:numPr>
        <w:ilvl w:val="0"/>
        <w:numId w:val="3"/>
      </w:numPr>
      <w:tabs>
        <w:tab w:val="left" w:pos="780"/>
      </w:tabs>
      <w:spacing w:line="240" w:lineRule="auto"/>
      <w:ind w:firstLine="0" w:firstLineChars="0"/>
    </w:pPr>
    <w:rPr>
      <w:rFonts w:ascii="Times New Roman" w:hAnsi="Times New Roman"/>
      <w:sz w:val="21"/>
      <w:szCs w:val="21"/>
    </w:rPr>
  </w:style>
  <w:style w:type="paragraph" w:styleId="25">
    <w:name w:val="toc 5"/>
    <w:basedOn w:val="1"/>
    <w:next w:val="1"/>
    <w:unhideWhenUsed/>
    <w:qFormat/>
    <w:uiPriority w:val="39"/>
    <w:pPr>
      <w:ind w:left="1680" w:leftChars="800"/>
    </w:pPr>
    <w:rPr>
      <w:rFonts w:eastAsiaTheme="minorEastAsia" w:cstheme="minorBidi"/>
      <w:szCs w:val="22"/>
    </w:rPr>
  </w:style>
  <w:style w:type="paragraph" w:styleId="26">
    <w:name w:val="toc 3"/>
    <w:basedOn w:val="1"/>
    <w:next w:val="1"/>
    <w:qFormat/>
    <w:uiPriority w:val="39"/>
    <w:pPr>
      <w:ind w:left="840" w:leftChars="400"/>
    </w:pPr>
  </w:style>
  <w:style w:type="paragraph" w:styleId="27">
    <w:name w:val="Plain Text"/>
    <w:basedOn w:val="1"/>
    <w:link w:val="74"/>
    <w:qFormat/>
    <w:uiPriority w:val="0"/>
    <w:pPr>
      <w:spacing w:line="240" w:lineRule="auto"/>
      <w:ind w:firstLine="0" w:firstLineChars="0"/>
    </w:pPr>
    <w:rPr>
      <w:rFonts w:ascii="宋体" w:hAnsi="Courier New" w:eastAsia="楷体_GB2312"/>
      <w:sz w:val="28"/>
      <w:szCs w:val="20"/>
    </w:rPr>
  </w:style>
  <w:style w:type="paragraph" w:styleId="28">
    <w:name w:val="toc 8"/>
    <w:basedOn w:val="1"/>
    <w:next w:val="1"/>
    <w:unhideWhenUsed/>
    <w:qFormat/>
    <w:uiPriority w:val="39"/>
    <w:pPr>
      <w:ind w:left="2940" w:leftChars="1400"/>
    </w:pPr>
    <w:rPr>
      <w:rFonts w:eastAsiaTheme="minorEastAsia" w:cstheme="minorBidi"/>
      <w:szCs w:val="22"/>
    </w:rPr>
  </w:style>
  <w:style w:type="paragraph" w:styleId="29">
    <w:name w:val="Date"/>
    <w:basedOn w:val="1"/>
    <w:next w:val="1"/>
    <w:link w:val="75"/>
    <w:qFormat/>
    <w:uiPriority w:val="0"/>
    <w:pPr>
      <w:ind w:left="100" w:leftChars="2500"/>
    </w:pPr>
    <w:rPr>
      <w:rFonts w:ascii="Times New Roman" w:hAnsi="Times New Roman"/>
    </w:rPr>
  </w:style>
  <w:style w:type="paragraph" w:styleId="30">
    <w:name w:val="Body Text Indent 2"/>
    <w:basedOn w:val="1"/>
    <w:link w:val="76"/>
    <w:unhideWhenUsed/>
    <w:qFormat/>
    <w:uiPriority w:val="0"/>
    <w:pPr>
      <w:spacing w:after="120" w:line="480" w:lineRule="auto"/>
      <w:ind w:left="420" w:leftChars="200"/>
    </w:pPr>
  </w:style>
  <w:style w:type="paragraph" w:styleId="31">
    <w:name w:val="Balloon Text"/>
    <w:basedOn w:val="1"/>
    <w:link w:val="77"/>
    <w:qFormat/>
    <w:uiPriority w:val="0"/>
    <w:rPr>
      <w:sz w:val="18"/>
      <w:szCs w:val="18"/>
    </w:rPr>
  </w:style>
  <w:style w:type="paragraph" w:styleId="32">
    <w:name w:val="footer"/>
    <w:basedOn w:val="1"/>
    <w:next w:val="1"/>
    <w:link w:val="78"/>
    <w:qFormat/>
    <w:uiPriority w:val="0"/>
    <w:pPr>
      <w:tabs>
        <w:tab w:val="center" w:pos="4153"/>
        <w:tab w:val="right" w:pos="8306"/>
      </w:tabs>
      <w:snapToGrid w:val="0"/>
      <w:jc w:val="left"/>
    </w:pPr>
    <w:rPr>
      <w:sz w:val="18"/>
    </w:rPr>
  </w:style>
  <w:style w:type="paragraph" w:styleId="33">
    <w:name w:val="header"/>
    <w:basedOn w:val="1"/>
    <w:link w:val="79"/>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34">
    <w:name w:val="toc 1"/>
    <w:basedOn w:val="1"/>
    <w:next w:val="1"/>
    <w:qFormat/>
    <w:uiPriority w:val="0"/>
  </w:style>
  <w:style w:type="paragraph" w:styleId="35">
    <w:name w:val="toc 4"/>
    <w:basedOn w:val="1"/>
    <w:next w:val="1"/>
    <w:unhideWhenUsed/>
    <w:qFormat/>
    <w:uiPriority w:val="39"/>
    <w:pPr>
      <w:ind w:left="1260" w:leftChars="600"/>
    </w:pPr>
    <w:rPr>
      <w:rFonts w:eastAsiaTheme="minorEastAsia" w:cstheme="minorBidi"/>
      <w:szCs w:val="22"/>
    </w:rPr>
  </w:style>
  <w:style w:type="paragraph" w:styleId="36">
    <w:name w:val="Subtitle"/>
    <w:basedOn w:val="1"/>
    <w:next w:val="1"/>
    <w:link w:val="297"/>
    <w:qFormat/>
    <w:uiPriority w:val="0"/>
    <w:pPr>
      <w:adjustRightInd w:val="0"/>
      <w:snapToGrid w:val="0"/>
      <w:spacing w:before="240" w:after="60" w:line="312" w:lineRule="auto"/>
      <w:ind w:firstLine="0" w:firstLineChars="0"/>
      <w:jc w:val="center"/>
    </w:pPr>
    <w:rPr>
      <w:rFonts w:ascii="Cambria" w:hAnsi="Cambria" w:eastAsia="黑体"/>
      <w:b/>
      <w:bCs/>
      <w:kern w:val="28"/>
      <w:sz w:val="24"/>
      <w:szCs w:val="32"/>
    </w:rPr>
  </w:style>
  <w:style w:type="paragraph" w:styleId="37">
    <w:name w:val="toc 6"/>
    <w:basedOn w:val="1"/>
    <w:next w:val="1"/>
    <w:unhideWhenUsed/>
    <w:qFormat/>
    <w:uiPriority w:val="39"/>
    <w:pPr>
      <w:ind w:left="2100" w:leftChars="1000"/>
    </w:pPr>
    <w:rPr>
      <w:rFonts w:eastAsiaTheme="minorEastAsia" w:cstheme="minorBidi"/>
      <w:szCs w:val="22"/>
    </w:rPr>
  </w:style>
  <w:style w:type="paragraph" w:styleId="38">
    <w:name w:val="Body Text Indent 3"/>
    <w:basedOn w:val="1"/>
    <w:link w:val="80"/>
    <w:qFormat/>
    <w:uiPriority w:val="0"/>
    <w:pPr>
      <w:spacing w:after="120" w:line="240" w:lineRule="auto"/>
      <w:ind w:left="420" w:leftChars="200" w:firstLine="0" w:firstLineChars="0"/>
    </w:pPr>
    <w:rPr>
      <w:rFonts w:ascii="Times New Roman" w:hAnsi="Times New Roman"/>
      <w:kern w:val="0"/>
      <w:sz w:val="16"/>
      <w:szCs w:val="16"/>
    </w:rPr>
  </w:style>
  <w:style w:type="paragraph" w:styleId="39">
    <w:name w:val="table of figures"/>
    <w:basedOn w:val="1"/>
    <w:next w:val="1"/>
    <w:qFormat/>
    <w:uiPriority w:val="0"/>
    <w:pPr>
      <w:autoSpaceDE w:val="0"/>
      <w:autoSpaceDN w:val="0"/>
      <w:ind w:left="200" w:leftChars="200" w:hanging="200" w:hangingChars="200"/>
      <w:jc w:val="left"/>
    </w:pPr>
    <w:rPr>
      <w:rFonts w:ascii="仿宋" w:hAnsi="仿宋" w:cs="仿宋"/>
      <w:kern w:val="0"/>
      <w:szCs w:val="22"/>
      <w:lang w:val="zh-CN" w:bidi="zh-CN"/>
    </w:rPr>
  </w:style>
  <w:style w:type="paragraph" w:styleId="40">
    <w:name w:val="toc 2"/>
    <w:basedOn w:val="1"/>
    <w:next w:val="1"/>
    <w:qFormat/>
    <w:uiPriority w:val="0"/>
    <w:pPr>
      <w:ind w:left="420" w:leftChars="200"/>
    </w:pPr>
  </w:style>
  <w:style w:type="paragraph" w:styleId="41">
    <w:name w:val="toc 9"/>
    <w:basedOn w:val="1"/>
    <w:next w:val="1"/>
    <w:unhideWhenUsed/>
    <w:qFormat/>
    <w:uiPriority w:val="39"/>
    <w:pPr>
      <w:ind w:left="3360" w:leftChars="1600"/>
    </w:pPr>
    <w:rPr>
      <w:rFonts w:eastAsiaTheme="minorEastAsia" w:cstheme="minorBidi"/>
      <w:szCs w:val="22"/>
    </w:rPr>
  </w:style>
  <w:style w:type="paragraph" w:styleId="42">
    <w:name w:val="Body Text 2"/>
    <w:basedOn w:val="1"/>
    <w:link w:val="61"/>
    <w:unhideWhenUsed/>
    <w:qFormat/>
    <w:uiPriority w:val="99"/>
    <w:pPr>
      <w:spacing w:after="120" w:line="480" w:lineRule="auto"/>
    </w:pPr>
  </w:style>
  <w:style w:type="paragraph" w:styleId="43">
    <w:name w:val="HTML Preformatted"/>
    <w:basedOn w:val="1"/>
    <w:link w:val="81"/>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firstLine="0" w:firstLineChars="0"/>
      <w:jc w:val="left"/>
    </w:pPr>
    <w:rPr>
      <w:rFonts w:ascii="黑体" w:hAnsi="Courier New" w:eastAsia="黑体"/>
      <w:kern w:val="0"/>
      <w:sz w:val="20"/>
      <w:szCs w:val="20"/>
    </w:rPr>
  </w:style>
  <w:style w:type="paragraph" w:styleId="44">
    <w:name w:val="annotation subject"/>
    <w:basedOn w:val="19"/>
    <w:next w:val="19"/>
    <w:link w:val="82"/>
    <w:qFormat/>
    <w:uiPriority w:val="0"/>
    <w:rPr>
      <w:rFonts w:ascii="Times New Roman" w:hAnsi="Times New Roman"/>
      <w:b/>
      <w:bCs/>
    </w:rPr>
  </w:style>
  <w:style w:type="paragraph" w:styleId="45">
    <w:name w:val="Body Text First Indent 2"/>
    <w:basedOn w:val="22"/>
    <w:next w:val="1"/>
    <w:link w:val="84"/>
    <w:qFormat/>
    <w:uiPriority w:val="0"/>
    <w:pPr>
      <w:widowControl w:val="0"/>
      <w:spacing w:line="240" w:lineRule="auto"/>
      <w:ind w:firstLine="420"/>
      <w:jc w:val="both"/>
    </w:pPr>
    <w:rPr>
      <w:rFonts w:ascii="Times New Roman" w:hAnsi="Times New Roman" w:cs="Times New Roman"/>
      <w:kern w:val="2"/>
      <w:sz w:val="21"/>
    </w:rPr>
  </w:style>
  <w:style w:type="table" w:styleId="47">
    <w:name w:val="Table Grid"/>
    <w:basedOn w:val="46"/>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49">
    <w:name w:val="Strong"/>
    <w:qFormat/>
    <w:uiPriority w:val="0"/>
    <w:rPr>
      <w:b/>
      <w:bCs/>
    </w:rPr>
  </w:style>
  <w:style w:type="character" w:styleId="50">
    <w:name w:val="page number"/>
    <w:basedOn w:val="48"/>
    <w:autoRedefine/>
    <w:qFormat/>
    <w:uiPriority w:val="0"/>
  </w:style>
  <w:style w:type="character" w:styleId="51">
    <w:name w:val="FollowedHyperlink"/>
    <w:qFormat/>
    <w:uiPriority w:val="0"/>
    <w:rPr>
      <w:color w:val="800080"/>
      <w:u w:val="single"/>
    </w:rPr>
  </w:style>
  <w:style w:type="character" w:styleId="52">
    <w:name w:val="Emphasis"/>
    <w:qFormat/>
    <w:uiPriority w:val="0"/>
    <w:rPr>
      <w:i/>
      <w:iCs/>
    </w:rPr>
  </w:style>
  <w:style w:type="character" w:styleId="53">
    <w:name w:val="line number"/>
    <w:qFormat/>
    <w:uiPriority w:val="0"/>
  </w:style>
  <w:style w:type="character" w:styleId="54">
    <w:name w:val="HTML Typewriter"/>
    <w:qFormat/>
    <w:uiPriority w:val="0"/>
    <w:rPr>
      <w:rFonts w:hint="eastAsia" w:ascii="黑体" w:hAnsi="Courier New" w:eastAsia="黑体" w:cs="Courier New"/>
      <w:sz w:val="18"/>
      <w:szCs w:val="18"/>
    </w:rPr>
  </w:style>
  <w:style w:type="character" w:styleId="55">
    <w:name w:val="Hyperlink"/>
    <w:basedOn w:val="48"/>
    <w:autoRedefine/>
    <w:qFormat/>
    <w:uiPriority w:val="0"/>
    <w:rPr>
      <w:color w:val="0000FF"/>
      <w:u w:val="single"/>
    </w:rPr>
  </w:style>
  <w:style w:type="character" w:styleId="56">
    <w:name w:val="annotation reference"/>
    <w:autoRedefine/>
    <w:qFormat/>
    <w:uiPriority w:val="0"/>
    <w:rPr>
      <w:sz w:val="21"/>
      <w:szCs w:val="21"/>
    </w:rPr>
  </w:style>
  <w:style w:type="character" w:customStyle="1" w:styleId="57">
    <w:name w:val="标题 2 字符"/>
    <w:basedOn w:val="48"/>
    <w:link w:val="4"/>
    <w:autoRedefine/>
    <w:qFormat/>
    <w:uiPriority w:val="1"/>
    <w:rPr>
      <w:rFonts w:ascii="Arial" w:hAnsi="Arial" w:eastAsia="楷体"/>
      <w:b/>
      <w:bCs/>
      <w:kern w:val="2"/>
      <w:sz w:val="32"/>
      <w:szCs w:val="32"/>
    </w:rPr>
  </w:style>
  <w:style w:type="character" w:customStyle="1" w:styleId="58">
    <w:name w:val="标题 3 Char"/>
    <w:autoRedefine/>
    <w:qFormat/>
    <w:uiPriority w:val="0"/>
    <w:rPr>
      <w:b/>
      <w:bCs/>
      <w:kern w:val="2"/>
      <w:sz w:val="28"/>
      <w:szCs w:val="28"/>
    </w:rPr>
  </w:style>
  <w:style w:type="character" w:customStyle="1" w:styleId="59">
    <w:name w:val="标题 1 Char"/>
    <w:autoRedefine/>
    <w:qFormat/>
    <w:uiPriority w:val="0"/>
    <w:rPr>
      <w:rFonts w:eastAsia="黑体"/>
      <w:b/>
      <w:bCs/>
      <w:kern w:val="44"/>
      <w:sz w:val="30"/>
      <w:szCs w:val="28"/>
    </w:rPr>
  </w:style>
  <w:style w:type="paragraph" w:customStyle="1" w:styleId="60">
    <w:name w:val="表格通用"/>
    <w:basedOn w:val="1"/>
    <w:autoRedefine/>
    <w:qFormat/>
    <w:uiPriority w:val="0"/>
    <w:pPr>
      <w:spacing w:line="240" w:lineRule="auto"/>
      <w:ind w:firstLine="0" w:firstLineChars="0"/>
      <w:jc w:val="center"/>
    </w:pPr>
    <w:rPr>
      <w:sz w:val="18"/>
      <w:szCs w:val="24"/>
    </w:rPr>
  </w:style>
  <w:style w:type="character" w:customStyle="1" w:styleId="61">
    <w:name w:val="正文文本 2 字符"/>
    <w:basedOn w:val="48"/>
    <w:link w:val="42"/>
    <w:autoRedefine/>
    <w:qFormat/>
    <w:uiPriority w:val="99"/>
    <w:rPr>
      <w:kern w:val="2"/>
      <w:sz w:val="24"/>
      <w:szCs w:val="24"/>
    </w:rPr>
  </w:style>
  <w:style w:type="character" w:customStyle="1" w:styleId="62">
    <w:name w:val="标题 1 字符"/>
    <w:basedOn w:val="48"/>
    <w:link w:val="3"/>
    <w:autoRedefine/>
    <w:qFormat/>
    <w:uiPriority w:val="1"/>
    <w:rPr>
      <w:rFonts w:eastAsia="宋体" w:asciiTheme="minorHAnsi" w:hAnsiTheme="minorHAnsi"/>
      <w:b/>
      <w:bCs/>
      <w:kern w:val="44"/>
      <w:sz w:val="32"/>
      <w:szCs w:val="44"/>
    </w:rPr>
  </w:style>
  <w:style w:type="character" w:customStyle="1" w:styleId="63">
    <w:name w:val="标题 3 字符"/>
    <w:link w:val="5"/>
    <w:autoRedefine/>
    <w:qFormat/>
    <w:uiPriority w:val="1"/>
    <w:rPr>
      <w:rFonts w:eastAsia="仿宋" w:asciiTheme="minorHAnsi" w:hAnsiTheme="minorHAnsi"/>
      <w:b/>
      <w:bCs/>
      <w:sz w:val="32"/>
      <w:szCs w:val="32"/>
    </w:rPr>
  </w:style>
  <w:style w:type="character" w:customStyle="1" w:styleId="64">
    <w:name w:val="正文文本 字符"/>
    <w:link w:val="6"/>
    <w:autoRedefine/>
    <w:qFormat/>
    <w:uiPriority w:val="1"/>
    <w:rPr>
      <w:rFonts w:ascii="华文楷体" w:hAnsi="华文楷体" w:eastAsia="LF_Kai"/>
      <w:sz w:val="24"/>
    </w:rPr>
  </w:style>
  <w:style w:type="character" w:customStyle="1" w:styleId="65">
    <w:name w:val="标题 4 字符"/>
    <w:basedOn w:val="48"/>
    <w:link w:val="8"/>
    <w:autoRedefine/>
    <w:qFormat/>
    <w:uiPriority w:val="0"/>
    <w:rPr>
      <w:bCs/>
      <w:kern w:val="2"/>
      <w:sz w:val="28"/>
      <w:szCs w:val="28"/>
    </w:rPr>
  </w:style>
  <w:style w:type="character" w:customStyle="1" w:styleId="66">
    <w:name w:val="标题 5 字符"/>
    <w:basedOn w:val="48"/>
    <w:link w:val="9"/>
    <w:autoRedefine/>
    <w:qFormat/>
    <w:uiPriority w:val="0"/>
    <w:rPr>
      <w:bCs/>
      <w:kern w:val="2"/>
      <w:sz w:val="28"/>
      <w:szCs w:val="28"/>
    </w:rPr>
  </w:style>
  <w:style w:type="character" w:customStyle="1" w:styleId="67">
    <w:name w:val="标题 6 字符"/>
    <w:basedOn w:val="48"/>
    <w:link w:val="10"/>
    <w:autoRedefine/>
    <w:qFormat/>
    <w:uiPriority w:val="0"/>
    <w:rPr>
      <w:rFonts w:ascii="Arial" w:hAnsi="Arial" w:eastAsia="黑体"/>
      <w:bCs/>
      <w:kern w:val="2"/>
      <w:sz w:val="21"/>
      <w:szCs w:val="24"/>
    </w:rPr>
  </w:style>
  <w:style w:type="character" w:customStyle="1" w:styleId="68">
    <w:name w:val="标题 7 字符"/>
    <w:basedOn w:val="48"/>
    <w:link w:val="11"/>
    <w:autoRedefine/>
    <w:qFormat/>
    <w:uiPriority w:val="0"/>
    <w:rPr>
      <w:b/>
      <w:bCs/>
      <w:kern w:val="2"/>
      <w:sz w:val="24"/>
      <w:szCs w:val="24"/>
    </w:rPr>
  </w:style>
  <w:style w:type="character" w:customStyle="1" w:styleId="69">
    <w:name w:val="标题 8 字符"/>
    <w:basedOn w:val="48"/>
    <w:link w:val="12"/>
    <w:autoRedefine/>
    <w:qFormat/>
    <w:uiPriority w:val="0"/>
    <w:rPr>
      <w:rFonts w:ascii="Arial" w:hAnsi="Arial" w:eastAsia="黑体"/>
      <w:kern w:val="2"/>
      <w:sz w:val="24"/>
      <w:szCs w:val="24"/>
    </w:rPr>
  </w:style>
  <w:style w:type="character" w:customStyle="1" w:styleId="70">
    <w:name w:val="标题 9 字符"/>
    <w:basedOn w:val="48"/>
    <w:link w:val="13"/>
    <w:autoRedefine/>
    <w:qFormat/>
    <w:uiPriority w:val="0"/>
    <w:rPr>
      <w:rFonts w:ascii="Arial" w:hAnsi="Arial" w:eastAsia="黑体"/>
      <w:kern w:val="2"/>
      <w:sz w:val="21"/>
      <w:szCs w:val="21"/>
    </w:rPr>
  </w:style>
  <w:style w:type="character" w:customStyle="1" w:styleId="71">
    <w:name w:val="文档结构图 字符"/>
    <w:link w:val="18"/>
    <w:autoRedefine/>
    <w:qFormat/>
    <w:locked/>
    <w:uiPriority w:val="0"/>
    <w:rPr>
      <w:szCs w:val="21"/>
      <w:shd w:val="clear" w:color="auto" w:fill="000080"/>
    </w:rPr>
  </w:style>
  <w:style w:type="character" w:customStyle="1" w:styleId="72">
    <w:name w:val="批注文字 字符"/>
    <w:basedOn w:val="48"/>
    <w:link w:val="19"/>
    <w:autoRedefine/>
    <w:qFormat/>
    <w:uiPriority w:val="0"/>
    <w:rPr>
      <w:rFonts w:ascii="Calibri" w:hAnsi="Calibri"/>
      <w:kern w:val="2"/>
      <w:sz w:val="21"/>
      <w:szCs w:val="24"/>
    </w:rPr>
  </w:style>
  <w:style w:type="character" w:customStyle="1" w:styleId="73">
    <w:name w:val="正文文本缩进 字符1"/>
    <w:basedOn w:val="48"/>
    <w:link w:val="22"/>
    <w:autoRedefine/>
    <w:qFormat/>
    <w:uiPriority w:val="0"/>
    <w:rPr>
      <w:rFonts w:ascii="宋体" w:hAnsi="宋体" w:cs="宋体"/>
      <w:sz w:val="24"/>
      <w:szCs w:val="24"/>
    </w:rPr>
  </w:style>
  <w:style w:type="character" w:customStyle="1" w:styleId="74">
    <w:name w:val="纯文本 字符"/>
    <w:link w:val="27"/>
    <w:autoRedefine/>
    <w:qFormat/>
    <w:uiPriority w:val="0"/>
    <w:rPr>
      <w:rFonts w:ascii="宋体" w:hAnsi="Courier New" w:eastAsia="楷体_GB2312"/>
      <w:kern w:val="2"/>
      <w:sz w:val="28"/>
    </w:rPr>
  </w:style>
  <w:style w:type="character" w:customStyle="1" w:styleId="75">
    <w:name w:val="日期 字符"/>
    <w:link w:val="29"/>
    <w:autoRedefine/>
    <w:qFormat/>
    <w:uiPriority w:val="0"/>
    <w:rPr>
      <w:kern w:val="2"/>
      <w:sz w:val="21"/>
      <w:szCs w:val="24"/>
    </w:rPr>
  </w:style>
  <w:style w:type="character" w:customStyle="1" w:styleId="76">
    <w:name w:val="正文文本缩进 2 字符"/>
    <w:link w:val="30"/>
    <w:autoRedefine/>
    <w:qFormat/>
    <w:locked/>
    <w:uiPriority w:val="0"/>
    <w:rPr>
      <w:rFonts w:asciiTheme="minorEastAsia" w:hAnsiTheme="minorEastAsia"/>
      <w:kern w:val="2"/>
      <w:sz w:val="24"/>
      <w:szCs w:val="24"/>
    </w:rPr>
  </w:style>
  <w:style w:type="character" w:customStyle="1" w:styleId="77">
    <w:name w:val="批注框文本 字符"/>
    <w:basedOn w:val="48"/>
    <w:link w:val="31"/>
    <w:autoRedefine/>
    <w:qFormat/>
    <w:uiPriority w:val="0"/>
    <w:rPr>
      <w:rFonts w:ascii="Calibri" w:hAnsi="Calibri"/>
      <w:kern w:val="2"/>
      <w:sz w:val="18"/>
      <w:szCs w:val="18"/>
    </w:rPr>
  </w:style>
  <w:style w:type="character" w:customStyle="1" w:styleId="78">
    <w:name w:val="页脚 字符"/>
    <w:link w:val="32"/>
    <w:autoRedefine/>
    <w:qFormat/>
    <w:uiPriority w:val="0"/>
    <w:rPr>
      <w:rFonts w:ascii="Calibri" w:hAnsi="Calibri"/>
      <w:kern w:val="2"/>
      <w:sz w:val="18"/>
      <w:szCs w:val="24"/>
    </w:rPr>
  </w:style>
  <w:style w:type="character" w:customStyle="1" w:styleId="79">
    <w:name w:val="页眉 字符"/>
    <w:link w:val="33"/>
    <w:autoRedefine/>
    <w:qFormat/>
    <w:uiPriority w:val="0"/>
    <w:rPr>
      <w:rFonts w:ascii="Calibri" w:hAnsi="Calibri"/>
      <w:kern w:val="2"/>
      <w:sz w:val="18"/>
      <w:szCs w:val="24"/>
    </w:rPr>
  </w:style>
  <w:style w:type="character" w:customStyle="1" w:styleId="80">
    <w:name w:val="正文文本缩进 3 字符"/>
    <w:link w:val="38"/>
    <w:autoRedefine/>
    <w:qFormat/>
    <w:locked/>
    <w:uiPriority w:val="0"/>
    <w:rPr>
      <w:sz w:val="16"/>
      <w:szCs w:val="16"/>
    </w:rPr>
  </w:style>
  <w:style w:type="character" w:customStyle="1" w:styleId="81">
    <w:name w:val="HTML 预设格式 字符"/>
    <w:link w:val="43"/>
    <w:autoRedefine/>
    <w:qFormat/>
    <w:locked/>
    <w:uiPriority w:val="0"/>
    <w:rPr>
      <w:rFonts w:ascii="黑体" w:hAnsi="Courier New" w:eastAsia="黑体"/>
    </w:rPr>
  </w:style>
  <w:style w:type="character" w:customStyle="1" w:styleId="82">
    <w:name w:val="批注主题 字符"/>
    <w:basedOn w:val="72"/>
    <w:link w:val="44"/>
    <w:autoRedefine/>
    <w:qFormat/>
    <w:uiPriority w:val="0"/>
    <w:rPr>
      <w:rFonts w:ascii="Calibri" w:hAnsi="Calibri"/>
      <w:b/>
      <w:bCs/>
      <w:kern w:val="2"/>
      <w:sz w:val="21"/>
      <w:szCs w:val="24"/>
    </w:rPr>
  </w:style>
  <w:style w:type="character" w:customStyle="1" w:styleId="83">
    <w:name w:val="正文文本首行缩进 字符"/>
    <w:link w:val="7"/>
    <w:autoRedefine/>
    <w:qFormat/>
    <w:locked/>
    <w:uiPriority w:val="0"/>
    <w:rPr>
      <w:rFonts w:ascii="微软雅黑" w:hAnsi="微软雅黑"/>
      <w:kern w:val="2"/>
      <w:sz w:val="21"/>
      <w:szCs w:val="21"/>
    </w:rPr>
  </w:style>
  <w:style w:type="character" w:customStyle="1" w:styleId="84">
    <w:name w:val="正文文本首行缩进 2 字符"/>
    <w:basedOn w:val="85"/>
    <w:link w:val="45"/>
    <w:autoRedefine/>
    <w:qFormat/>
    <w:uiPriority w:val="0"/>
    <w:rPr>
      <w:kern w:val="2"/>
      <w:sz w:val="21"/>
      <w:szCs w:val="24"/>
    </w:rPr>
  </w:style>
  <w:style w:type="character" w:customStyle="1" w:styleId="85">
    <w:name w:val="正文文本缩进 字符"/>
    <w:autoRedefine/>
    <w:qFormat/>
    <w:uiPriority w:val="0"/>
    <w:rPr>
      <w:kern w:val="2"/>
      <w:sz w:val="21"/>
      <w:szCs w:val="24"/>
    </w:rPr>
  </w:style>
  <w:style w:type="paragraph" w:customStyle="1" w:styleId="86">
    <w:name w:val="表格正文"/>
    <w:autoRedefine/>
    <w:qFormat/>
    <w:uiPriority w:val="0"/>
    <w:pPr>
      <w:widowControl w:val="0"/>
      <w:adjustRightInd w:val="0"/>
      <w:snapToGrid w:val="0"/>
      <w:jc w:val="center"/>
    </w:pPr>
    <w:rPr>
      <w:rFonts w:ascii="Times New Roman" w:hAnsi="Times New Roman" w:eastAsia="宋体" w:cs="Times New Roman"/>
      <w:kern w:val="2"/>
      <w:sz w:val="21"/>
      <w:szCs w:val="24"/>
      <w:lang w:val="en-GB" w:eastAsia="zh-CN" w:bidi="ar-SA"/>
    </w:rPr>
  </w:style>
  <w:style w:type="character" w:customStyle="1" w:styleId="87">
    <w:name w:val="font21"/>
    <w:basedOn w:val="48"/>
    <w:autoRedefine/>
    <w:qFormat/>
    <w:uiPriority w:val="0"/>
    <w:rPr>
      <w:rFonts w:hint="default" w:ascii="Times New Roman" w:hAnsi="Times New Roman" w:cs="Times New Roman"/>
      <w:b/>
      <w:color w:val="000000"/>
      <w:sz w:val="21"/>
      <w:szCs w:val="21"/>
      <w:u w:val="none"/>
    </w:rPr>
  </w:style>
  <w:style w:type="character" w:customStyle="1" w:styleId="88">
    <w:name w:val="font11"/>
    <w:basedOn w:val="48"/>
    <w:autoRedefine/>
    <w:qFormat/>
    <w:uiPriority w:val="0"/>
    <w:rPr>
      <w:rFonts w:hint="eastAsia" w:ascii="宋体" w:hAnsi="宋体" w:eastAsia="宋体" w:cs="宋体"/>
      <w:b/>
      <w:color w:val="000000"/>
      <w:sz w:val="21"/>
      <w:szCs w:val="21"/>
      <w:u w:val="none"/>
    </w:rPr>
  </w:style>
  <w:style w:type="paragraph" w:customStyle="1" w:styleId="89">
    <w:name w:val="图标题"/>
    <w:basedOn w:val="1"/>
    <w:autoRedefine/>
    <w:qFormat/>
    <w:uiPriority w:val="0"/>
    <w:pPr>
      <w:adjustRightInd w:val="0"/>
      <w:snapToGrid w:val="0"/>
      <w:jc w:val="center"/>
    </w:pPr>
    <w:rPr>
      <w:rFonts w:ascii="黑体" w:hAnsi="宋体" w:eastAsia="黑体"/>
      <w:kern w:val="0"/>
      <w:szCs w:val="21"/>
    </w:rPr>
  </w:style>
  <w:style w:type="paragraph" w:customStyle="1" w:styleId="90">
    <w:name w:val="标题3"/>
    <w:basedOn w:val="22"/>
    <w:autoRedefine/>
    <w:qFormat/>
    <w:uiPriority w:val="0"/>
    <w:pPr>
      <w:widowControl w:val="0"/>
      <w:spacing w:after="0"/>
      <w:ind w:left="0" w:leftChars="0"/>
      <w:jc w:val="both"/>
      <w:outlineLvl w:val="2"/>
    </w:pPr>
    <w:rPr>
      <w:rFonts w:ascii="黑体" w:hAnsi="Times New Roman" w:eastAsia="黑体" w:cs="Times New Roman"/>
      <w:color w:val="000000"/>
      <w:kern w:val="2"/>
      <w:sz w:val="28"/>
      <w:szCs w:val="30"/>
    </w:rPr>
  </w:style>
  <w:style w:type="paragraph" w:customStyle="1" w:styleId="91">
    <w:name w:val="可研 正文"/>
    <w:autoRedefine/>
    <w:qFormat/>
    <w:uiPriority w:val="0"/>
    <w:pPr>
      <w:widowControl w:val="0"/>
      <w:adjustRightInd w:val="0"/>
      <w:snapToGrid w:val="0"/>
      <w:spacing w:line="360" w:lineRule="auto"/>
      <w:ind w:firstLine="200" w:firstLineChars="200"/>
      <w:jc w:val="both"/>
    </w:pPr>
    <w:rPr>
      <w:rFonts w:ascii="Times New Roman" w:hAnsi="Times New Roman" w:eastAsia="宋体" w:cs="Times New Roman"/>
      <w:kern w:val="2"/>
      <w:sz w:val="24"/>
      <w:szCs w:val="28"/>
      <w:lang w:val="en-US" w:eastAsia="zh-CN" w:bidi="ar-SA"/>
    </w:rPr>
  </w:style>
  <w:style w:type="paragraph" w:customStyle="1" w:styleId="92">
    <w:name w:val="可研 表号"/>
    <w:basedOn w:val="91"/>
    <w:next w:val="91"/>
    <w:autoRedefine/>
    <w:qFormat/>
    <w:uiPriority w:val="0"/>
    <w:pPr>
      <w:widowControl/>
      <w:adjustRightInd/>
      <w:spacing w:line="240" w:lineRule="auto"/>
      <w:ind w:firstLine="0" w:firstLineChars="0"/>
      <w:jc w:val="left"/>
    </w:pPr>
    <w:rPr>
      <w:rFonts w:eastAsia="方正仿宋简体"/>
      <w:kern w:val="0"/>
    </w:rPr>
  </w:style>
  <w:style w:type="paragraph" w:customStyle="1" w:styleId="93">
    <w:name w:val="可研 表格样式"/>
    <w:link w:val="94"/>
    <w:autoRedefine/>
    <w:qFormat/>
    <w:uiPriority w:val="0"/>
    <w:pPr>
      <w:jc w:val="center"/>
    </w:pPr>
    <w:rPr>
      <w:rFonts w:ascii="Times New Roman" w:hAnsi="Times New Roman" w:eastAsia="方正仿宋简体" w:cs="Times New Roman"/>
      <w:kern w:val="2"/>
      <w:sz w:val="21"/>
      <w:szCs w:val="28"/>
      <w:lang w:val="en-US" w:eastAsia="zh-CN" w:bidi="ar-SA"/>
    </w:rPr>
  </w:style>
  <w:style w:type="character" w:customStyle="1" w:styleId="94">
    <w:name w:val="可研 表格样式 Char"/>
    <w:link w:val="93"/>
    <w:autoRedefine/>
    <w:qFormat/>
    <w:uiPriority w:val="0"/>
    <w:rPr>
      <w:rFonts w:ascii="Times New Roman" w:hAnsi="Times New Roman" w:eastAsia="方正仿宋简体" w:cs="Times New Roman"/>
      <w:kern w:val="2"/>
      <w:sz w:val="21"/>
      <w:szCs w:val="28"/>
      <w:lang w:val="en-US" w:eastAsia="zh-CN" w:bidi="ar-SA"/>
    </w:rPr>
  </w:style>
  <w:style w:type="paragraph" w:customStyle="1" w:styleId="95">
    <w:name w:val="可研二级标题"/>
    <w:basedOn w:val="1"/>
    <w:autoRedefine/>
    <w:qFormat/>
    <w:uiPriority w:val="0"/>
    <w:pPr>
      <w:widowControl/>
      <w:spacing w:before="120" w:beforeLines="50"/>
      <w:jc w:val="left"/>
      <w:outlineLvl w:val="1"/>
    </w:pPr>
    <w:rPr>
      <w:rFonts w:ascii="Arial" w:hAnsi="Arial" w:eastAsia="黑体" w:cs="方正仿宋简体"/>
    </w:rPr>
  </w:style>
  <w:style w:type="paragraph" w:customStyle="1" w:styleId="96">
    <w:name w:val="可研 三级标题"/>
    <w:autoRedefine/>
    <w:qFormat/>
    <w:uiPriority w:val="0"/>
    <w:pPr>
      <w:spacing w:before="60" w:line="360" w:lineRule="auto"/>
      <w:ind w:firstLine="241" w:firstLineChars="100"/>
      <w:jc w:val="both"/>
      <w:outlineLvl w:val="2"/>
    </w:pPr>
    <w:rPr>
      <w:rFonts w:ascii="Times New Roman" w:hAnsi="Arial" w:eastAsia="方正仿宋简体" w:cs="Times New Roman"/>
      <w:b/>
      <w:snapToGrid w:val="0"/>
      <w:kern w:val="2"/>
      <w:sz w:val="24"/>
      <w:szCs w:val="28"/>
      <w:lang w:val="en-US" w:eastAsia="zh-CN" w:bidi="ar-SA"/>
    </w:rPr>
  </w:style>
  <w:style w:type="paragraph" w:customStyle="1" w:styleId="97">
    <w:name w:val="无间隔1"/>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customStyle="1" w:styleId="98">
    <w:name w:val="font61"/>
    <w:basedOn w:val="48"/>
    <w:autoRedefine/>
    <w:qFormat/>
    <w:uiPriority w:val="0"/>
    <w:rPr>
      <w:rFonts w:hint="eastAsia" w:ascii="宋体" w:hAnsi="宋体" w:eastAsia="宋体" w:cs="宋体"/>
      <w:color w:val="000000"/>
      <w:sz w:val="20"/>
      <w:szCs w:val="20"/>
      <w:u w:val="none"/>
    </w:rPr>
  </w:style>
  <w:style w:type="character" w:customStyle="1" w:styleId="99">
    <w:name w:val="font41"/>
    <w:basedOn w:val="48"/>
    <w:autoRedefine/>
    <w:qFormat/>
    <w:uiPriority w:val="0"/>
    <w:rPr>
      <w:rFonts w:hint="default" w:ascii="Times New Roman" w:hAnsi="Times New Roman" w:cs="Times New Roman"/>
      <w:color w:val="000000"/>
      <w:sz w:val="20"/>
      <w:szCs w:val="20"/>
      <w:u w:val="none"/>
    </w:rPr>
  </w:style>
  <w:style w:type="character" w:customStyle="1" w:styleId="100">
    <w:name w:val="font31"/>
    <w:basedOn w:val="48"/>
    <w:autoRedefine/>
    <w:qFormat/>
    <w:uiPriority w:val="0"/>
    <w:rPr>
      <w:rFonts w:hint="default" w:ascii="Times New Roman" w:hAnsi="Times New Roman" w:cs="Times New Roman"/>
      <w:b/>
      <w:color w:val="000000"/>
      <w:sz w:val="20"/>
      <w:szCs w:val="20"/>
      <w:u w:val="none"/>
    </w:rPr>
  </w:style>
  <w:style w:type="character" w:customStyle="1" w:styleId="101">
    <w:name w:val="font151"/>
    <w:basedOn w:val="48"/>
    <w:autoRedefine/>
    <w:qFormat/>
    <w:uiPriority w:val="0"/>
    <w:rPr>
      <w:rFonts w:hint="eastAsia" w:ascii="宋体" w:hAnsi="宋体" w:eastAsia="宋体" w:cs="宋体"/>
      <w:color w:val="000000"/>
      <w:sz w:val="20"/>
      <w:szCs w:val="20"/>
      <w:u w:val="none"/>
    </w:rPr>
  </w:style>
  <w:style w:type="character" w:customStyle="1" w:styleId="102">
    <w:name w:val="font71"/>
    <w:basedOn w:val="48"/>
    <w:autoRedefine/>
    <w:qFormat/>
    <w:uiPriority w:val="0"/>
    <w:rPr>
      <w:rFonts w:hint="default" w:ascii="Times New Roman" w:hAnsi="Times New Roman" w:cs="Times New Roman"/>
      <w:b/>
      <w:color w:val="000000"/>
      <w:sz w:val="20"/>
      <w:szCs w:val="20"/>
      <w:u w:val="none"/>
    </w:rPr>
  </w:style>
  <w:style w:type="character" w:customStyle="1" w:styleId="103">
    <w:name w:val="font91"/>
    <w:basedOn w:val="48"/>
    <w:autoRedefine/>
    <w:qFormat/>
    <w:uiPriority w:val="0"/>
    <w:rPr>
      <w:rFonts w:hint="default" w:ascii="Times New Roman" w:hAnsi="Times New Roman" w:cs="Times New Roman"/>
      <w:b/>
      <w:color w:val="000000"/>
      <w:sz w:val="20"/>
      <w:szCs w:val="20"/>
      <w:u w:val="none"/>
    </w:rPr>
  </w:style>
  <w:style w:type="character" w:customStyle="1" w:styleId="104">
    <w:name w:val="font131"/>
    <w:basedOn w:val="48"/>
    <w:autoRedefine/>
    <w:qFormat/>
    <w:uiPriority w:val="0"/>
    <w:rPr>
      <w:rFonts w:hint="default" w:ascii="Times New Roman" w:hAnsi="Times New Roman" w:cs="Times New Roman"/>
      <w:color w:val="000000"/>
      <w:sz w:val="20"/>
      <w:szCs w:val="20"/>
      <w:u w:val="none"/>
    </w:rPr>
  </w:style>
  <w:style w:type="character" w:customStyle="1" w:styleId="105">
    <w:name w:val="font01"/>
    <w:basedOn w:val="48"/>
    <w:autoRedefine/>
    <w:qFormat/>
    <w:uiPriority w:val="0"/>
    <w:rPr>
      <w:rFonts w:hint="default" w:ascii="Times New Roman" w:hAnsi="Times New Roman" w:cs="Times New Roman"/>
      <w:color w:val="000000"/>
      <w:sz w:val="20"/>
      <w:szCs w:val="20"/>
      <w:u w:val="none"/>
    </w:rPr>
  </w:style>
  <w:style w:type="character" w:customStyle="1" w:styleId="106">
    <w:name w:val="font101"/>
    <w:basedOn w:val="48"/>
    <w:autoRedefine/>
    <w:qFormat/>
    <w:uiPriority w:val="0"/>
    <w:rPr>
      <w:rFonts w:hint="eastAsia" w:ascii="宋体" w:hAnsi="宋体" w:eastAsia="宋体" w:cs="宋体"/>
      <w:color w:val="000000"/>
      <w:sz w:val="20"/>
      <w:szCs w:val="20"/>
      <w:u w:val="none"/>
    </w:rPr>
  </w:style>
  <w:style w:type="character" w:customStyle="1" w:styleId="107">
    <w:name w:val="font112"/>
    <w:basedOn w:val="48"/>
    <w:autoRedefine/>
    <w:qFormat/>
    <w:uiPriority w:val="0"/>
    <w:rPr>
      <w:rFonts w:hint="eastAsia" w:ascii="宋体" w:hAnsi="宋体" w:eastAsia="宋体" w:cs="宋体"/>
      <w:b/>
      <w:color w:val="000000"/>
      <w:sz w:val="20"/>
      <w:szCs w:val="20"/>
      <w:u w:val="none"/>
    </w:rPr>
  </w:style>
  <w:style w:type="character" w:customStyle="1" w:styleId="108">
    <w:name w:val="font81"/>
    <w:basedOn w:val="48"/>
    <w:autoRedefine/>
    <w:qFormat/>
    <w:uiPriority w:val="0"/>
    <w:rPr>
      <w:rFonts w:hint="default" w:ascii="Times New Roman" w:hAnsi="Times New Roman" w:cs="Times New Roman"/>
      <w:color w:val="000000"/>
      <w:sz w:val="20"/>
      <w:szCs w:val="20"/>
      <w:u w:val="none"/>
    </w:rPr>
  </w:style>
  <w:style w:type="paragraph" w:customStyle="1" w:styleId="109">
    <w:name w:val="Table Paragraph"/>
    <w:basedOn w:val="1"/>
    <w:autoRedefine/>
    <w:qFormat/>
    <w:uiPriority w:val="1"/>
    <w:rPr>
      <w:rFonts w:ascii="宋体" w:hAnsi="宋体" w:cs="宋体"/>
      <w:lang w:val="zh-CN" w:bidi="zh-CN"/>
    </w:rPr>
  </w:style>
  <w:style w:type="character" w:customStyle="1" w:styleId="110">
    <w:name w:val="font51"/>
    <w:basedOn w:val="48"/>
    <w:autoRedefine/>
    <w:qFormat/>
    <w:uiPriority w:val="0"/>
    <w:rPr>
      <w:rFonts w:hint="eastAsia" w:ascii="宋体" w:hAnsi="宋体" w:eastAsia="宋体" w:cs="宋体"/>
      <w:b/>
      <w:color w:val="000000"/>
      <w:sz w:val="20"/>
      <w:szCs w:val="20"/>
      <w:u w:val="none"/>
    </w:rPr>
  </w:style>
  <w:style w:type="character" w:customStyle="1" w:styleId="111">
    <w:name w:val="font12"/>
    <w:basedOn w:val="48"/>
    <w:autoRedefine/>
    <w:qFormat/>
    <w:uiPriority w:val="0"/>
    <w:rPr>
      <w:rFonts w:hint="eastAsia" w:ascii="宋体" w:hAnsi="宋体" w:eastAsia="宋体" w:cs="宋体"/>
      <w:color w:val="000000"/>
      <w:sz w:val="18"/>
      <w:szCs w:val="18"/>
      <w:u w:val="none"/>
    </w:rPr>
  </w:style>
  <w:style w:type="paragraph" w:styleId="112">
    <w:name w:val="List Paragraph"/>
    <w:basedOn w:val="1"/>
    <w:autoRedefine/>
    <w:qFormat/>
    <w:uiPriority w:val="1"/>
    <w:pPr>
      <w:ind w:firstLine="420"/>
    </w:pPr>
  </w:style>
  <w:style w:type="character" w:customStyle="1" w:styleId="113">
    <w:name w:val="样式1 Char"/>
    <w:link w:val="114"/>
    <w:autoRedefine/>
    <w:qFormat/>
    <w:uiPriority w:val="0"/>
    <w:rPr>
      <w:rFonts w:eastAsia="黑体"/>
      <w:sz w:val="32"/>
    </w:rPr>
  </w:style>
  <w:style w:type="paragraph" w:customStyle="1" w:styleId="114">
    <w:name w:val="样式1"/>
    <w:basedOn w:val="1"/>
    <w:link w:val="113"/>
    <w:autoRedefine/>
    <w:qFormat/>
    <w:uiPriority w:val="0"/>
    <w:pPr>
      <w:ind w:firstLine="600"/>
      <w:jc w:val="left"/>
      <w:outlineLvl w:val="0"/>
    </w:pPr>
    <w:rPr>
      <w:rFonts w:ascii="Times New Roman" w:hAnsi="Times New Roman" w:eastAsia="黑体"/>
      <w:kern w:val="0"/>
      <w:szCs w:val="20"/>
    </w:rPr>
  </w:style>
  <w:style w:type="character" w:customStyle="1" w:styleId="115">
    <w:name w:val="批注文字 Char"/>
    <w:autoRedefine/>
    <w:qFormat/>
    <w:uiPriority w:val="0"/>
    <w:rPr>
      <w:kern w:val="2"/>
      <w:sz w:val="21"/>
      <w:szCs w:val="24"/>
    </w:rPr>
  </w:style>
  <w:style w:type="character" w:customStyle="1" w:styleId="116">
    <w:name w:val="批注文字 Char1"/>
    <w:basedOn w:val="48"/>
    <w:autoRedefine/>
    <w:semiHidden/>
    <w:qFormat/>
    <w:uiPriority w:val="99"/>
    <w:rPr>
      <w:kern w:val="2"/>
      <w:sz w:val="21"/>
      <w:szCs w:val="24"/>
    </w:rPr>
  </w:style>
  <w:style w:type="character" w:customStyle="1" w:styleId="117">
    <w:name w:val="页眉 Char1"/>
    <w:basedOn w:val="48"/>
    <w:autoRedefine/>
    <w:semiHidden/>
    <w:qFormat/>
    <w:uiPriority w:val="99"/>
    <w:rPr>
      <w:kern w:val="2"/>
      <w:sz w:val="18"/>
      <w:szCs w:val="18"/>
    </w:rPr>
  </w:style>
  <w:style w:type="character" w:customStyle="1" w:styleId="118">
    <w:name w:val="日期 Char1"/>
    <w:basedOn w:val="48"/>
    <w:autoRedefine/>
    <w:qFormat/>
    <w:uiPriority w:val="99"/>
    <w:rPr>
      <w:rFonts w:ascii="Calibri" w:hAnsi="Calibri"/>
      <w:kern w:val="2"/>
      <w:sz w:val="21"/>
      <w:szCs w:val="24"/>
    </w:rPr>
  </w:style>
  <w:style w:type="character" w:customStyle="1" w:styleId="119">
    <w:name w:val="批注框文本 Char1"/>
    <w:basedOn w:val="48"/>
    <w:autoRedefine/>
    <w:semiHidden/>
    <w:qFormat/>
    <w:uiPriority w:val="99"/>
    <w:rPr>
      <w:kern w:val="2"/>
      <w:sz w:val="18"/>
      <w:szCs w:val="18"/>
    </w:rPr>
  </w:style>
  <w:style w:type="character" w:customStyle="1" w:styleId="120">
    <w:name w:val="页脚 Char1"/>
    <w:basedOn w:val="48"/>
    <w:autoRedefine/>
    <w:semiHidden/>
    <w:qFormat/>
    <w:uiPriority w:val="99"/>
    <w:rPr>
      <w:kern w:val="2"/>
      <w:sz w:val="18"/>
      <w:szCs w:val="18"/>
    </w:rPr>
  </w:style>
  <w:style w:type="character" w:customStyle="1" w:styleId="121">
    <w:name w:val="正文文本 Char1"/>
    <w:basedOn w:val="48"/>
    <w:autoRedefine/>
    <w:semiHidden/>
    <w:qFormat/>
    <w:uiPriority w:val="99"/>
    <w:rPr>
      <w:kern w:val="2"/>
      <w:sz w:val="21"/>
      <w:szCs w:val="24"/>
    </w:rPr>
  </w:style>
  <w:style w:type="paragraph" w:customStyle="1" w:styleId="122">
    <w:name w:val="l_text"/>
    <w:basedOn w:val="1"/>
    <w:autoRedefine/>
    <w:qFormat/>
    <w:uiPriority w:val="0"/>
    <w:pPr>
      <w:widowControl/>
      <w:overflowPunct w:val="0"/>
      <w:autoSpaceDE w:val="0"/>
      <w:autoSpaceDN w:val="0"/>
      <w:adjustRightInd w:val="0"/>
      <w:spacing w:before="60" w:after="60"/>
      <w:ind w:firstLine="567"/>
      <w:textAlignment w:val="baseline"/>
    </w:pPr>
    <w:rPr>
      <w:rFonts w:ascii="Times New Roman" w:hAnsi="Times New Roman"/>
      <w:kern w:val="0"/>
      <w:sz w:val="28"/>
      <w:szCs w:val="20"/>
      <w:lang w:val="en-GB"/>
    </w:rPr>
  </w:style>
  <w:style w:type="paragraph" w:customStyle="1" w:styleId="123">
    <w:name w:val="Char Char Char Char Char Char Char Char Char1 Char Char Char Char"/>
    <w:basedOn w:val="1"/>
    <w:autoRedefine/>
    <w:qFormat/>
    <w:uiPriority w:val="0"/>
    <w:rPr>
      <w:rFonts w:ascii="Times New Roman" w:hAnsi="Times New Roman"/>
    </w:rPr>
  </w:style>
  <w:style w:type="paragraph" w:customStyle="1" w:styleId="124">
    <w:name w:val="xl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Times New Roman" w:hAnsi="Times New Roman"/>
      <w:kern w:val="0"/>
      <w:sz w:val="15"/>
      <w:szCs w:val="15"/>
    </w:rPr>
  </w:style>
  <w:style w:type="paragraph" w:customStyle="1" w:styleId="125">
    <w:name w:val="样式 标题 4四 + Times New Roman"/>
    <w:basedOn w:val="8"/>
    <w:autoRedefine/>
    <w:qFormat/>
    <w:uiPriority w:val="0"/>
    <w:pPr>
      <w:tabs>
        <w:tab w:val="left" w:pos="1200"/>
      </w:tabs>
      <w:spacing w:before="280" w:after="290" w:line="376" w:lineRule="auto"/>
      <w:ind w:left="1200" w:hanging="720"/>
    </w:pPr>
  </w:style>
  <w:style w:type="paragraph" w:customStyle="1" w:styleId="126">
    <w:name w:val="xl2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top"/>
    </w:pPr>
    <w:rPr>
      <w:rFonts w:ascii="Times New Roman" w:hAnsi="Times New Roman"/>
      <w:kern w:val="0"/>
      <w:sz w:val="15"/>
      <w:szCs w:val="15"/>
    </w:rPr>
  </w:style>
  <w:style w:type="paragraph" w:customStyle="1" w:styleId="127">
    <w:name w:val="中心小标题"/>
    <w:basedOn w:val="1"/>
    <w:autoRedefine/>
    <w:qFormat/>
    <w:uiPriority w:val="0"/>
    <w:pPr>
      <w:tabs>
        <w:tab w:val="left" w:pos="7590"/>
      </w:tabs>
      <w:outlineLvl w:val="0"/>
    </w:pPr>
    <w:rPr>
      <w:rFonts w:ascii="Times New Roman" w:hAnsi="Times New Roman" w:eastAsia="黑体"/>
      <w:szCs w:val="32"/>
    </w:rPr>
  </w:style>
  <w:style w:type="paragraph" w:customStyle="1" w:styleId="128">
    <w:name w:val="xl2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Times New Roman" w:hAnsi="Times New Roman"/>
      <w:kern w:val="0"/>
      <w:sz w:val="15"/>
      <w:szCs w:val="15"/>
    </w:rPr>
  </w:style>
  <w:style w:type="paragraph" w:customStyle="1" w:styleId="129">
    <w:name w:val="xl2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textAlignment w:val="top"/>
    </w:pPr>
    <w:rPr>
      <w:rFonts w:ascii="Times New Roman" w:hAnsi="Times New Roman"/>
      <w:b/>
      <w:bCs/>
      <w:kern w:val="0"/>
      <w:sz w:val="15"/>
      <w:szCs w:val="15"/>
    </w:rPr>
  </w:style>
  <w:style w:type="paragraph" w:customStyle="1" w:styleId="130">
    <w:name w:val="中心打标题"/>
    <w:basedOn w:val="1"/>
    <w:autoRedefine/>
    <w:qFormat/>
    <w:uiPriority w:val="0"/>
    <w:pPr>
      <w:jc w:val="center"/>
      <w:outlineLvl w:val="0"/>
    </w:pPr>
    <w:rPr>
      <w:rFonts w:ascii="Times New Roman" w:hAnsi="Times New Roman" w:eastAsia="黑体"/>
      <w:b/>
      <w:sz w:val="44"/>
      <w:szCs w:val="44"/>
    </w:rPr>
  </w:style>
  <w:style w:type="paragraph" w:customStyle="1" w:styleId="131">
    <w:name w:val="xl2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宋体" w:hAnsi="宋体" w:cs="宋体"/>
      <w:kern w:val="0"/>
      <w:sz w:val="15"/>
      <w:szCs w:val="15"/>
    </w:rPr>
  </w:style>
  <w:style w:type="paragraph" w:customStyle="1" w:styleId="132">
    <w:name w:val="二章正文"/>
    <w:basedOn w:val="1"/>
    <w:link w:val="133"/>
    <w:autoRedefine/>
    <w:qFormat/>
    <w:uiPriority w:val="0"/>
    <w:pPr>
      <w:ind w:firstLine="576" w:firstLineChars="192"/>
    </w:pPr>
    <w:rPr>
      <w:rFonts w:ascii="Times New Roman" w:hAnsi="Times New Roman"/>
      <w:sz w:val="30"/>
      <w:szCs w:val="30"/>
    </w:rPr>
  </w:style>
  <w:style w:type="character" w:customStyle="1" w:styleId="133">
    <w:name w:val="二章正文 Char1"/>
    <w:link w:val="132"/>
    <w:autoRedefine/>
    <w:qFormat/>
    <w:locked/>
    <w:uiPriority w:val="0"/>
    <w:rPr>
      <w:kern w:val="2"/>
      <w:sz w:val="30"/>
      <w:szCs w:val="30"/>
    </w:rPr>
  </w:style>
  <w:style w:type="paragraph" w:customStyle="1" w:styleId="134">
    <w:name w:val="ny_zhctjjfa_jsct_table"/>
    <w:basedOn w:val="1"/>
    <w:autoRedefine/>
    <w:qFormat/>
    <w:uiPriority w:val="0"/>
    <w:pPr>
      <w:widowControl/>
      <w:spacing w:before="100" w:beforeAutospacing="1" w:after="100" w:afterAutospacing="1"/>
      <w:jc w:val="left"/>
    </w:pPr>
    <w:rPr>
      <w:rFonts w:ascii="宋体" w:hAnsi="宋体" w:cs="宋体"/>
      <w:kern w:val="0"/>
    </w:rPr>
  </w:style>
  <w:style w:type="paragraph" w:customStyle="1" w:styleId="135">
    <w:name w:val="xl2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right"/>
    </w:pPr>
    <w:rPr>
      <w:rFonts w:ascii="Times New Roman" w:hAnsi="Times New Roman"/>
      <w:b/>
      <w:bCs/>
      <w:kern w:val="0"/>
      <w:sz w:val="15"/>
      <w:szCs w:val="15"/>
    </w:rPr>
  </w:style>
  <w:style w:type="paragraph" w:customStyle="1" w:styleId="136">
    <w:name w:val="Char Char Char Char"/>
    <w:basedOn w:val="1"/>
    <w:autoRedefine/>
    <w:qFormat/>
    <w:uiPriority w:val="0"/>
    <w:rPr>
      <w:rFonts w:ascii="Times New Roman" w:hAnsi="Times New Roman"/>
    </w:rPr>
  </w:style>
  <w:style w:type="paragraph" w:customStyle="1" w:styleId="137">
    <w:name w:val="小标题"/>
    <w:basedOn w:val="1"/>
    <w:autoRedefine/>
    <w:qFormat/>
    <w:uiPriority w:val="0"/>
    <w:pPr>
      <w:ind w:firstLine="720"/>
      <w:outlineLvl w:val="0"/>
    </w:pPr>
    <w:rPr>
      <w:rFonts w:ascii="Times New Roman" w:hAnsi="Times New Roman" w:eastAsia="黑体"/>
    </w:rPr>
  </w:style>
  <w:style w:type="paragraph" w:customStyle="1" w:styleId="138">
    <w:name w:val="TOC 标题1"/>
    <w:basedOn w:val="3"/>
    <w:next w:val="1"/>
    <w:autoRedefine/>
    <w:semiHidden/>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Cs w:val="28"/>
    </w:rPr>
  </w:style>
  <w:style w:type="paragraph" w:customStyle="1" w:styleId="139">
    <w:name w:val="格式1111111"/>
    <w:basedOn w:val="1"/>
    <w:link w:val="140"/>
    <w:autoRedefine/>
    <w:qFormat/>
    <w:uiPriority w:val="0"/>
    <w:pPr>
      <w:spacing w:before="50" w:beforeLines="50" w:after="50" w:afterLines="50"/>
      <w:ind w:firstLine="420"/>
    </w:pPr>
    <w:rPr>
      <w:sz w:val="28"/>
    </w:rPr>
  </w:style>
  <w:style w:type="character" w:customStyle="1" w:styleId="140">
    <w:name w:val="格式1111111 Char"/>
    <w:link w:val="139"/>
    <w:autoRedefine/>
    <w:qFormat/>
    <w:uiPriority w:val="0"/>
    <w:rPr>
      <w:sz w:val="28"/>
    </w:rPr>
  </w:style>
  <w:style w:type="character" w:customStyle="1" w:styleId="141">
    <w:name w:val="font111"/>
    <w:basedOn w:val="48"/>
    <w:autoRedefine/>
    <w:qFormat/>
    <w:uiPriority w:val="0"/>
    <w:rPr>
      <w:rFonts w:hint="eastAsia" w:ascii="宋体" w:hAnsi="宋体" w:eastAsia="宋体" w:cs="宋体"/>
      <w:color w:val="000000"/>
      <w:sz w:val="20"/>
      <w:szCs w:val="20"/>
      <w:u w:val="none"/>
    </w:rPr>
  </w:style>
  <w:style w:type="character" w:customStyle="1" w:styleId="142">
    <w:name w:val="font122"/>
    <w:basedOn w:val="48"/>
    <w:autoRedefine/>
    <w:qFormat/>
    <w:uiPriority w:val="0"/>
    <w:rPr>
      <w:rFonts w:hint="eastAsia" w:ascii="宋体" w:hAnsi="宋体" w:eastAsia="宋体" w:cs="宋体"/>
      <w:color w:val="000000"/>
      <w:sz w:val="20"/>
      <w:szCs w:val="20"/>
      <w:u w:val="none"/>
    </w:rPr>
  </w:style>
  <w:style w:type="character" w:customStyle="1" w:styleId="143">
    <w:name w:val="未处理的提及1"/>
    <w:basedOn w:val="48"/>
    <w:autoRedefine/>
    <w:semiHidden/>
    <w:unhideWhenUsed/>
    <w:qFormat/>
    <w:uiPriority w:val="99"/>
    <w:rPr>
      <w:color w:val="605E5C"/>
      <w:shd w:val="clear" w:color="auto" w:fill="E1DFDD"/>
    </w:rPr>
  </w:style>
  <w:style w:type="character" w:customStyle="1" w:styleId="144">
    <w:name w:val="报告文字 Char"/>
    <w:autoRedefine/>
    <w:qFormat/>
    <w:locked/>
    <w:uiPriority w:val="0"/>
    <w:rPr>
      <w:kern w:val="2"/>
      <w:sz w:val="24"/>
      <w:szCs w:val="24"/>
      <w:lang w:bidi="ar-SA"/>
    </w:rPr>
  </w:style>
  <w:style w:type="character" w:customStyle="1" w:styleId="145">
    <w:name w:val="报告文字 Char Char"/>
    <w:link w:val="146"/>
    <w:autoRedefine/>
    <w:qFormat/>
    <w:uiPriority w:val="0"/>
    <w:rPr>
      <w:kern w:val="2"/>
      <w:sz w:val="24"/>
      <w:szCs w:val="24"/>
    </w:rPr>
  </w:style>
  <w:style w:type="paragraph" w:customStyle="1" w:styleId="146">
    <w:name w:val="报告文字"/>
    <w:basedOn w:val="1"/>
    <w:link w:val="145"/>
    <w:autoRedefine/>
    <w:qFormat/>
    <w:uiPriority w:val="0"/>
    <w:rPr>
      <w:rFonts w:ascii="Times New Roman" w:hAnsi="Times New Roman"/>
    </w:rPr>
  </w:style>
  <w:style w:type="character" w:customStyle="1" w:styleId="147">
    <w:name w:val="style31"/>
    <w:autoRedefine/>
    <w:qFormat/>
    <w:uiPriority w:val="0"/>
    <w:rPr>
      <w:color w:val="FF9900"/>
    </w:rPr>
  </w:style>
  <w:style w:type="character" w:customStyle="1" w:styleId="148">
    <w:name w:val="访问过的超链接1"/>
    <w:autoRedefine/>
    <w:unhideWhenUsed/>
    <w:qFormat/>
    <w:uiPriority w:val="99"/>
    <w:rPr>
      <w:color w:val="954F72"/>
      <w:u w:val="single"/>
    </w:rPr>
  </w:style>
  <w:style w:type="character" w:customStyle="1" w:styleId="149">
    <w:name w:val="页码1"/>
    <w:autoRedefine/>
    <w:qFormat/>
    <w:uiPriority w:val="0"/>
    <w:rPr>
      <w:rFonts w:ascii="Times New Roman" w:hAnsi="Times New Roman" w:eastAsia="宋体"/>
      <w:sz w:val="21"/>
    </w:rPr>
  </w:style>
  <w:style w:type="paragraph" w:customStyle="1" w:styleId="150">
    <w:name w:val="Char Char10"/>
    <w:basedOn w:val="1"/>
    <w:autoRedefine/>
    <w:qFormat/>
    <w:uiPriority w:val="0"/>
    <w:pPr>
      <w:widowControl/>
      <w:spacing w:after="160" w:line="240" w:lineRule="exact"/>
      <w:ind w:firstLine="0" w:firstLineChars="0"/>
      <w:jc w:val="left"/>
    </w:pPr>
    <w:rPr>
      <w:rFonts w:ascii="Calibri" w:hAnsi="Calibri"/>
      <w:sz w:val="21"/>
      <w:szCs w:val="22"/>
    </w:rPr>
  </w:style>
  <w:style w:type="paragraph" w:customStyle="1" w:styleId="151">
    <w:name w:val="表格-标题"/>
    <w:autoRedefine/>
    <w:qFormat/>
    <w:uiPriority w:val="0"/>
    <w:pPr>
      <w:adjustRightInd w:val="0"/>
      <w:spacing w:line="360" w:lineRule="auto"/>
      <w:jc w:val="center"/>
    </w:pPr>
    <w:rPr>
      <w:rFonts w:ascii="黑体" w:hAnsi="黑体" w:eastAsia="黑体" w:cs="Times New Roman"/>
      <w:sz w:val="21"/>
      <w:szCs w:val="21"/>
      <w:lang w:val="en-US" w:eastAsia="zh-CN" w:bidi="ar-SA"/>
    </w:rPr>
  </w:style>
  <w:style w:type="paragraph" w:customStyle="1" w:styleId="152">
    <w:name w:val="公司小标题"/>
    <w:basedOn w:val="1"/>
    <w:autoRedefine/>
    <w:qFormat/>
    <w:uiPriority w:val="0"/>
    <w:pPr>
      <w:adjustRightInd w:val="0"/>
      <w:spacing w:line="240" w:lineRule="auto"/>
      <w:outlineLvl w:val="0"/>
    </w:pPr>
    <w:rPr>
      <w:rFonts w:ascii="Times New Roman" w:hAnsi="Times New Roman" w:eastAsia="黑体"/>
      <w:color w:val="000000"/>
      <w:kern w:val="0"/>
      <w:szCs w:val="32"/>
      <w:lang w:bidi="en-US"/>
    </w:rPr>
  </w:style>
  <w:style w:type="paragraph" w:customStyle="1" w:styleId="153">
    <w:name w:val="基准页眉样式"/>
    <w:basedOn w:val="6"/>
    <w:autoRedefine/>
    <w:qFormat/>
    <w:uiPriority w:val="0"/>
    <w:pPr>
      <w:widowControl w:val="0"/>
      <w:adjustRightInd/>
      <w:snapToGrid/>
      <w:spacing w:before="0" w:after="0" w:line="360" w:lineRule="exact"/>
      <w:ind w:firstLine="0" w:firstLineChars="0"/>
      <w:jc w:val="center"/>
    </w:pPr>
    <w:rPr>
      <w:rFonts w:ascii="Times New Roman" w:hAnsi="Times New Roman" w:eastAsia="黑体"/>
      <w:kern w:val="2"/>
      <w:sz w:val="28"/>
    </w:rPr>
  </w:style>
  <w:style w:type="paragraph" w:customStyle="1" w:styleId="154">
    <w:name w:val="msocaptioncxsplast"/>
    <w:basedOn w:val="1"/>
    <w:autoRedefine/>
    <w:qFormat/>
    <w:uiPriority w:val="0"/>
    <w:pPr>
      <w:widowControl/>
      <w:spacing w:before="100" w:beforeAutospacing="1" w:after="100" w:afterAutospacing="1" w:line="240" w:lineRule="auto"/>
      <w:ind w:firstLine="0" w:firstLineChars="0"/>
      <w:jc w:val="left"/>
    </w:pPr>
    <w:rPr>
      <w:rFonts w:ascii="Times New Roman" w:hAnsi="Times New Roman"/>
      <w:kern w:val="0"/>
      <w:lang w:eastAsia="en-US"/>
    </w:rPr>
  </w:style>
  <w:style w:type="paragraph" w:customStyle="1" w:styleId="155">
    <w:name w:val="msonormalcxsplast"/>
    <w:basedOn w:val="1"/>
    <w:autoRedefine/>
    <w:qFormat/>
    <w:uiPriority w:val="0"/>
    <w:pPr>
      <w:widowControl/>
      <w:spacing w:before="100" w:beforeAutospacing="1" w:after="100" w:afterAutospacing="1" w:line="240" w:lineRule="auto"/>
      <w:ind w:firstLine="0" w:firstLineChars="0"/>
      <w:jc w:val="left"/>
    </w:pPr>
    <w:rPr>
      <w:rFonts w:ascii="Times New Roman" w:hAnsi="Times New Roman"/>
      <w:kern w:val="0"/>
      <w:lang w:eastAsia="en-US"/>
    </w:rPr>
  </w:style>
  <w:style w:type="paragraph" w:customStyle="1" w:styleId="156">
    <w:name w:val="大标题"/>
    <w:basedOn w:val="1"/>
    <w:autoRedefine/>
    <w:qFormat/>
    <w:uiPriority w:val="0"/>
    <w:pPr>
      <w:widowControl/>
      <w:tabs>
        <w:tab w:val="left" w:pos="1080"/>
      </w:tabs>
      <w:spacing w:line="240" w:lineRule="auto"/>
      <w:ind w:firstLine="0" w:firstLineChars="0"/>
      <w:jc w:val="center"/>
    </w:pPr>
    <w:rPr>
      <w:rFonts w:ascii="Times New Roman" w:hAnsi="Times New Roman" w:eastAsia="黑体"/>
      <w:b/>
      <w:kern w:val="0"/>
      <w:sz w:val="44"/>
      <w:szCs w:val="44"/>
      <w:lang w:eastAsia="en-US" w:bidi="en-US"/>
    </w:rPr>
  </w:style>
  <w:style w:type="paragraph" w:customStyle="1" w:styleId="157">
    <w:name w:val="Char Char2"/>
    <w:basedOn w:val="1"/>
    <w:autoRedefine/>
    <w:semiHidden/>
    <w:qFormat/>
    <w:uiPriority w:val="0"/>
    <w:pPr>
      <w:spacing w:line="240" w:lineRule="auto"/>
      <w:ind w:firstLine="0" w:firstLineChars="0"/>
      <w:jc w:val="left"/>
    </w:pPr>
    <w:rPr>
      <w:rFonts w:ascii="宋体" w:hAnsi="宋体" w:cs="宋体"/>
      <w:kern w:val="0"/>
    </w:rPr>
  </w:style>
  <w:style w:type="paragraph" w:customStyle="1" w:styleId="158">
    <w:name w:val="Char Char Char Char Char Char Char Char"/>
    <w:basedOn w:val="1"/>
    <w:autoRedefine/>
    <w:qFormat/>
    <w:uiPriority w:val="0"/>
    <w:pPr>
      <w:widowControl/>
      <w:spacing w:after="160" w:line="240" w:lineRule="exact"/>
      <w:ind w:firstLine="0" w:firstLineChars="0"/>
      <w:jc w:val="left"/>
    </w:pPr>
    <w:rPr>
      <w:rFonts w:ascii="Verdana" w:hAnsi="Verdana"/>
      <w:kern w:val="0"/>
      <w:sz w:val="20"/>
      <w:lang w:eastAsia="en-US"/>
    </w:rPr>
  </w:style>
  <w:style w:type="paragraph" w:customStyle="1" w:styleId="159">
    <w:name w:val="213564541385848"/>
    <w:basedOn w:val="1"/>
    <w:autoRedefine/>
    <w:qFormat/>
    <w:uiPriority w:val="0"/>
    <w:pPr>
      <w:widowControl/>
      <w:jc w:val="left"/>
    </w:pPr>
    <w:rPr>
      <w:rFonts w:ascii="Times New Roman" w:hAnsi="Times New Roman" w:eastAsia="黑体"/>
      <w:kern w:val="0"/>
      <w:szCs w:val="32"/>
      <w:lang w:eastAsia="en-US" w:bidi="en-US"/>
    </w:rPr>
  </w:style>
  <w:style w:type="paragraph" w:customStyle="1" w:styleId="160">
    <w:name w:val="Char Char Char Char Char Char Char"/>
    <w:basedOn w:val="1"/>
    <w:autoRedefine/>
    <w:qFormat/>
    <w:uiPriority w:val="0"/>
    <w:pPr>
      <w:spacing w:line="240" w:lineRule="auto"/>
      <w:ind w:firstLine="0" w:firstLineChars="0"/>
      <w:jc w:val="left"/>
    </w:pPr>
    <w:rPr>
      <w:rFonts w:ascii="Times New Roman" w:hAnsi="Times New Roman"/>
      <w:sz w:val="21"/>
      <w:szCs w:val="20"/>
    </w:rPr>
  </w:style>
  <w:style w:type="paragraph" w:customStyle="1" w:styleId="161">
    <w:name w:val="仿宋报告正文"/>
    <w:basedOn w:val="1"/>
    <w:autoRedefine/>
    <w:qFormat/>
    <w:uiPriority w:val="0"/>
    <w:pPr>
      <w:widowControl/>
      <w:adjustRightInd w:val="0"/>
      <w:contextualSpacing/>
      <w:jc w:val="left"/>
    </w:pPr>
    <w:rPr>
      <w:rFonts w:ascii="Times New Roman" w:hAnsi="Times New Roman"/>
      <w:kern w:val="0"/>
      <w:sz w:val="28"/>
      <w:szCs w:val="28"/>
      <w:lang w:eastAsia="en-US" w:bidi="en-US"/>
    </w:rPr>
  </w:style>
  <w:style w:type="paragraph" w:customStyle="1" w:styleId="162">
    <w:name w:val="_Style 26"/>
    <w:basedOn w:val="1"/>
    <w:autoRedefine/>
    <w:qFormat/>
    <w:uiPriority w:val="0"/>
    <w:pPr>
      <w:spacing w:line="240" w:lineRule="auto"/>
      <w:ind w:firstLine="0" w:firstLineChars="0"/>
    </w:pPr>
    <w:rPr>
      <w:rFonts w:ascii="Tahoma" w:hAnsi="Tahoma"/>
      <w:szCs w:val="20"/>
    </w:rPr>
  </w:style>
  <w:style w:type="character" w:customStyle="1" w:styleId="163">
    <w:name w:val="正文文本首行缩进 2 字符1"/>
    <w:basedOn w:val="73"/>
    <w:autoRedefine/>
    <w:semiHidden/>
    <w:qFormat/>
    <w:uiPriority w:val="0"/>
    <w:rPr>
      <w:rFonts w:cs="宋体" w:asciiTheme="minorEastAsia" w:hAnsiTheme="minorEastAsia"/>
      <w:kern w:val="2"/>
      <w:sz w:val="24"/>
      <w:szCs w:val="24"/>
    </w:rPr>
  </w:style>
  <w:style w:type="paragraph" w:customStyle="1" w:styleId="164">
    <w:name w:val="纯文本1"/>
    <w:basedOn w:val="1"/>
    <w:autoRedefine/>
    <w:qFormat/>
    <w:uiPriority w:val="0"/>
    <w:pPr>
      <w:spacing w:line="240" w:lineRule="auto"/>
      <w:ind w:firstLine="0" w:firstLineChars="0"/>
    </w:pPr>
    <w:rPr>
      <w:rFonts w:ascii="宋体" w:hAnsi="Courier New" w:eastAsia="楷体_GB2312"/>
      <w:sz w:val="28"/>
      <w:szCs w:val="20"/>
    </w:rPr>
  </w:style>
  <w:style w:type="paragraph" w:customStyle="1" w:styleId="165">
    <w:name w:val="Char Char Char Char Char Char Char11"/>
    <w:basedOn w:val="1"/>
    <w:autoRedefine/>
    <w:semiHidden/>
    <w:qFormat/>
    <w:uiPriority w:val="0"/>
    <w:pPr>
      <w:spacing w:line="240" w:lineRule="auto"/>
      <w:ind w:firstLine="0" w:firstLineChars="0"/>
      <w:jc w:val="left"/>
    </w:pPr>
    <w:rPr>
      <w:rFonts w:ascii="宋体" w:hAnsi="宋体" w:cs="宋体"/>
      <w:kern w:val="0"/>
    </w:rPr>
  </w:style>
  <w:style w:type="paragraph" w:customStyle="1" w:styleId="166">
    <w:name w:val="abstract"/>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rPr>
  </w:style>
  <w:style w:type="paragraph" w:customStyle="1" w:styleId="167">
    <w:name w:val="_Style 9"/>
    <w:basedOn w:val="1"/>
    <w:autoRedefine/>
    <w:qFormat/>
    <w:uiPriority w:val="0"/>
    <w:pPr>
      <w:spacing w:line="240" w:lineRule="auto"/>
      <w:ind w:firstLine="0" w:firstLineChars="0"/>
    </w:pPr>
    <w:rPr>
      <w:rFonts w:ascii="Tahoma" w:hAnsi="Tahoma"/>
      <w:szCs w:val="20"/>
    </w:rPr>
  </w:style>
  <w:style w:type="paragraph" w:customStyle="1" w:styleId="168">
    <w:name w:val="大标题1111"/>
    <w:basedOn w:val="1"/>
    <w:autoRedefine/>
    <w:qFormat/>
    <w:uiPriority w:val="0"/>
    <w:pPr>
      <w:widowControl/>
      <w:spacing w:line="240" w:lineRule="auto"/>
      <w:ind w:firstLine="0" w:firstLineChars="0"/>
      <w:jc w:val="center"/>
      <w:outlineLvl w:val="0"/>
    </w:pPr>
    <w:rPr>
      <w:rFonts w:ascii="Times New Roman" w:hAnsi="Times New Roman" w:eastAsia="黑体"/>
      <w:b/>
      <w:kern w:val="0"/>
      <w:sz w:val="44"/>
      <w:lang w:eastAsia="en-US" w:bidi="en-US"/>
    </w:rPr>
  </w:style>
  <w:style w:type="paragraph" w:customStyle="1" w:styleId="169">
    <w:name w:val="Char Char101"/>
    <w:basedOn w:val="1"/>
    <w:autoRedefine/>
    <w:qFormat/>
    <w:uiPriority w:val="0"/>
    <w:pPr>
      <w:widowControl/>
      <w:spacing w:after="160" w:line="240" w:lineRule="exact"/>
      <w:ind w:firstLine="0" w:firstLineChars="0"/>
      <w:jc w:val="left"/>
    </w:pPr>
    <w:rPr>
      <w:rFonts w:ascii="Calibri" w:hAnsi="Calibri"/>
      <w:sz w:val="21"/>
      <w:szCs w:val="22"/>
    </w:rPr>
  </w:style>
  <w:style w:type="paragraph" w:customStyle="1" w:styleId="170">
    <w:name w:val="222222"/>
    <w:basedOn w:val="1"/>
    <w:autoRedefine/>
    <w:qFormat/>
    <w:uiPriority w:val="0"/>
    <w:pPr>
      <w:widowControl/>
      <w:ind w:firstLine="600"/>
      <w:jc w:val="left"/>
    </w:pPr>
    <w:rPr>
      <w:rFonts w:ascii="Times New Roman" w:hAnsi="Times New Roman" w:eastAsia="黑体"/>
      <w:kern w:val="0"/>
      <w:lang w:eastAsia="en-US" w:bidi="en-US"/>
    </w:rPr>
  </w:style>
  <w:style w:type="paragraph" w:customStyle="1" w:styleId="171">
    <w:name w:val="msonormalcxspmiddlecxspmiddle"/>
    <w:basedOn w:val="1"/>
    <w:autoRedefine/>
    <w:qFormat/>
    <w:uiPriority w:val="0"/>
    <w:pPr>
      <w:widowControl/>
      <w:spacing w:before="100" w:beforeAutospacing="1" w:after="100" w:afterAutospacing="1" w:line="240" w:lineRule="auto"/>
      <w:ind w:firstLine="0" w:firstLineChars="0"/>
      <w:jc w:val="left"/>
    </w:pPr>
    <w:rPr>
      <w:rFonts w:ascii="Times New Roman" w:hAnsi="Times New Roman"/>
      <w:kern w:val="0"/>
      <w:lang w:eastAsia="en-US"/>
    </w:rPr>
  </w:style>
  <w:style w:type="paragraph" w:customStyle="1" w:styleId="172">
    <w:name w:val="11111"/>
    <w:basedOn w:val="1"/>
    <w:autoRedefine/>
    <w:qFormat/>
    <w:uiPriority w:val="0"/>
    <w:pPr>
      <w:widowControl/>
      <w:spacing w:line="240" w:lineRule="auto"/>
      <w:ind w:firstLine="0" w:firstLineChars="0"/>
      <w:jc w:val="center"/>
    </w:pPr>
    <w:rPr>
      <w:rFonts w:ascii="Times New Roman" w:hAnsi="Times New Roman" w:eastAsia="黑体"/>
      <w:kern w:val="0"/>
      <w:sz w:val="44"/>
      <w:lang w:eastAsia="en-US" w:bidi="en-US"/>
    </w:rPr>
  </w:style>
  <w:style w:type="paragraph" w:customStyle="1" w:styleId="173">
    <w:name w:val="WPSOffice手动目录 2"/>
    <w:autoRedefine/>
    <w:qFormat/>
    <w:uiPriority w:val="0"/>
    <w:pPr>
      <w:ind w:left="200" w:leftChars="200"/>
    </w:pPr>
    <w:rPr>
      <w:rFonts w:ascii="Times New Roman" w:hAnsi="Times New Roman" w:eastAsia="宋体" w:cs="Times New Roman"/>
      <w:lang w:val="en-US" w:eastAsia="zh-CN" w:bidi="ar-SA"/>
    </w:rPr>
  </w:style>
  <w:style w:type="paragraph" w:customStyle="1" w:styleId="174">
    <w:name w:val="p0"/>
    <w:basedOn w:val="1"/>
    <w:autoRedefine/>
    <w:qFormat/>
    <w:uiPriority w:val="0"/>
    <w:pPr>
      <w:widowControl/>
      <w:spacing w:line="440" w:lineRule="atLeast"/>
      <w:ind w:firstLine="0" w:firstLineChars="0"/>
    </w:pPr>
    <w:rPr>
      <w:rFonts w:ascii="宋体" w:hAnsi="宋体" w:cs="宋体"/>
      <w:kern w:val="0"/>
      <w:sz w:val="21"/>
      <w:szCs w:val="21"/>
    </w:rPr>
  </w:style>
  <w:style w:type="paragraph" w:customStyle="1" w:styleId="175">
    <w:name w:val="msonormalcxspmiddle"/>
    <w:basedOn w:val="1"/>
    <w:autoRedefine/>
    <w:qFormat/>
    <w:uiPriority w:val="0"/>
    <w:pPr>
      <w:widowControl/>
      <w:spacing w:before="100" w:beforeAutospacing="1" w:after="100" w:afterAutospacing="1" w:line="240" w:lineRule="auto"/>
      <w:ind w:firstLine="0" w:firstLineChars="0"/>
      <w:jc w:val="left"/>
    </w:pPr>
    <w:rPr>
      <w:rFonts w:ascii="Times New Roman" w:hAnsi="Times New Roman"/>
      <w:kern w:val="0"/>
      <w:lang w:eastAsia="en-US"/>
    </w:rPr>
  </w:style>
  <w:style w:type="paragraph" w:customStyle="1" w:styleId="176">
    <w:name w:val="msonormalcxspmiddlecxsplast"/>
    <w:basedOn w:val="1"/>
    <w:autoRedefine/>
    <w:qFormat/>
    <w:uiPriority w:val="0"/>
    <w:pPr>
      <w:widowControl/>
      <w:spacing w:before="100" w:beforeAutospacing="1" w:after="100" w:afterAutospacing="1" w:line="240" w:lineRule="auto"/>
      <w:ind w:firstLine="0" w:firstLineChars="0"/>
      <w:jc w:val="left"/>
    </w:pPr>
    <w:rPr>
      <w:rFonts w:ascii="Times New Roman" w:hAnsi="Times New Roman"/>
      <w:kern w:val="0"/>
      <w:lang w:eastAsia="en-US"/>
    </w:rPr>
  </w:style>
  <w:style w:type="paragraph" w:customStyle="1" w:styleId="177">
    <w:name w:val="-cxsplast"/>
    <w:basedOn w:val="1"/>
    <w:autoRedefine/>
    <w:qFormat/>
    <w:uiPriority w:val="0"/>
    <w:pPr>
      <w:widowControl/>
      <w:spacing w:before="100" w:beforeAutospacing="1" w:after="100" w:afterAutospacing="1" w:line="240" w:lineRule="auto"/>
      <w:ind w:firstLine="0" w:firstLineChars="0"/>
      <w:jc w:val="left"/>
    </w:pPr>
    <w:rPr>
      <w:rFonts w:ascii="Times New Roman" w:hAnsi="Times New Roman"/>
      <w:kern w:val="0"/>
      <w:lang w:eastAsia="en-US"/>
    </w:rPr>
  </w:style>
  <w:style w:type="character" w:customStyle="1" w:styleId="178">
    <w:name w:val="纯文本 字符1"/>
    <w:basedOn w:val="48"/>
    <w:autoRedefine/>
    <w:qFormat/>
    <w:uiPriority w:val="0"/>
    <w:rPr>
      <w:rFonts w:hAnsi="Courier New" w:cs="Courier New" w:asciiTheme="minorEastAsia" w:eastAsiaTheme="minorEastAsia"/>
      <w:kern w:val="2"/>
      <w:sz w:val="24"/>
      <w:szCs w:val="24"/>
    </w:rPr>
  </w:style>
  <w:style w:type="paragraph" w:customStyle="1" w:styleId="179">
    <w:name w:val="样式 黑体 三号 居中 段前: 31.2 磅 段后: 31.2 磅 行距: 多倍行距 2.41 字行"/>
    <w:basedOn w:val="1"/>
    <w:autoRedefine/>
    <w:qFormat/>
    <w:uiPriority w:val="0"/>
    <w:pPr>
      <w:widowControl/>
      <w:spacing w:before="340" w:after="340" w:line="578" w:lineRule="auto"/>
      <w:ind w:firstLine="0" w:firstLineChars="0"/>
      <w:jc w:val="center"/>
    </w:pPr>
    <w:rPr>
      <w:rFonts w:ascii="黑体" w:hAnsi="Times New Roman" w:eastAsia="黑体" w:cs="宋体"/>
      <w:kern w:val="0"/>
      <w:szCs w:val="20"/>
      <w:lang w:eastAsia="en-US" w:bidi="en-US"/>
    </w:rPr>
  </w:style>
  <w:style w:type="paragraph" w:customStyle="1" w:styleId="180">
    <w:name w:val="WPSOffice手动目录 1"/>
    <w:autoRedefine/>
    <w:qFormat/>
    <w:uiPriority w:val="0"/>
    <w:rPr>
      <w:rFonts w:ascii="Times New Roman" w:hAnsi="Times New Roman" w:eastAsia="宋体" w:cs="Times New Roman"/>
      <w:lang w:val="en-US" w:eastAsia="zh-CN" w:bidi="ar-SA"/>
    </w:rPr>
  </w:style>
  <w:style w:type="paragraph" w:customStyle="1" w:styleId="181">
    <w:name w:val="6'"/>
    <w:basedOn w:val="1"/>
    <w:autoRedefine/>
    <w:qFormat/>
    <w:uiPriority w:val="0"/>
    <w:pPr>
      <w:autoSpaceDE w:val="0"/>
      <w:autoSpaceDN w:val="0"/>
      <w:adjustRightInd w:val="0"/>
      <w:snapToGrid w:val="0"/>
      <w:spacing w:line="320" w:lineRule="exact"/>
      <w:ind w:firstLine="0" w:firstLineChars="0"/>
      <w:jc w:val="center"/>
    </w:pPr>
    <w:rPr>
      <w:rFonts w:ascii="Times New Roman" w:hAnsi="Times New Roman"/>
      <w:spacing w:val="20"/>
      <w:kern w:val="28"/>
      <w:sz w:val="21"/>
      <w:szCs w:val="20"/>
    </w:rPr>
  </w:style>
  <w:style w:type="paragraph" w:customStyle="1" w:styleId="182">
    <w:name w:val="正文1"/>
    <w:autoRedefine/>
    <w:qFormat/>
    <w:uiPriority w:val="0"/>
    <w:pPr>
      <w:ind w:firstLine="420" w:firstLineChars="200"/>
      <w:jc w:val="both"/>
    </w:pPr>
    <w:rPr>
      <w:rFonts w:ascii="Times New Roman" w:hAnsi="Times New Roman" w:eastAsia="宋体" w:cs="Times New Roman"/>
      <w:sz w:val="28"/>
      <w:lang w:val="en-US" w:eastAsia="zh-CN" w:bidi="ar-SA"/>
    </w:rPr>
  </w:style>
  <w:style w:type="paragraph" w:customStyle="1" w:styleId="183">
    <w:name w:val="label"/>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rPr>
  </w:style>
  <w:style w:type="paragraph" w:customStyle="1" w:styleId="184">
    <w:name w:val="Char Char Char Char1"/>
    <w:basedOn w:val="1"/>
    <w:autoRedefine/>
    <w:qFormat/>
    <w:uiPriority w:val="0"/>
    <w:pPr>
      <w:spacing w:line="240" w:lineRule="auto"/>
      <w:ind w:firstLine="0" w:firstLineChars="0"/>
    </w:pPr>
    <w:rPr>
      <w:rFonts w:ascii="Calibri" w:hAnsi="Calibri"/>
      <w:sz w:val="21"/>
    </w:rPr>
  </w:style>
  <w:style w:type="character" w:customStyle="1" w:styleId="185">
    <w:name w:val="样式 样式 (西文) Times New Roman (中文) 仿宋_GB2312 + 楷体_GB2312"/>
    <w:autoRedefine/>
    <w:qFormat/>
    <w:uiPriority w:val="0"/>
    <w:rPr>
      <w:rFonts w:hint="eastAsia" w:ascii="楷体_GB2312" w:hAnsi="楷体_GB2312" w:eastAsia="仿宋_GB2312"/>
      <w:sz w:val="30"/>
    </w:rPr>
  </w:style>
  <w:style w:type="character" w:customStyle="1" w:styleId="186">
    <w:name w:val="infodetail1"/>
    <w:autoRedefine/>
    <w:qFormat/>
    <w:uiPriority w:val="0"/>
    <w:rPr>
      <w:sz w:val="22"/>
      <w:szCs w:val="22"/>
    </w:rPr>
  </w:style>
  <w:style w:type="character" w:customStyle="1" w:styleId="187">
    <w:name w:val="text_edit editable-title"/>
    <w:basedOn w:val="48"/>
    <w:autoRedefine/>
    <w:qFormat/>
    <w:uiPriority w:val="0"/>
  </w:style>
  <w:style w:type="character" w:customStyle="1" w:styleId="188">
    <w:name w:val="style171"/>
    <w:autoRedefine/>
    <w:qFormat/>
    <w:uiPriority w:val="0"/>
    <w:rPr>
      <w:color w:val="000000"/>
      <w:sz w:val="21"/>
      <w:szCs w:val="21"/>
    </w:rPr>
  </w:style>
  <w:style w:type="character" w:customStyle="1" w:styleId="189">
    <w:name w:val="text11"/>
    <w:autoRedefine/>
    <w:qFormat/>
    <w:uiPriority w:val="0"/>
    <w:rPr>
      <w:sz w:val="18"/>
      <w:szCs w:val="18"/>
      <w:u w:val="none"/>
    </w:rPr>
  </w:style>
  <w:style w:type="character" w:customStyle="1" w:styleId="190">
    <w:name w:val="t_tag"/>
    <w:basedOn w:val="48"/>
    <w:autoRedefine/>
    <w:qFormat/>
    <w:uiPriority w:val="0"/>
  </w:style>
  <w:style w:type="character" w:customStyle="1" w:styleId="191">
    <w:name w:val="ca-11"/>
    <w:autoRedefine/>
    <w:qFormat/>
    <w:uiPriority w:val="0"/>
    <w:rPr>
      <w:rFonts w:hint="eastAsia" w:ascii="仿宋_GB2312" w:eastAsia="仿宋_GB2312"/>
      <w:sz w:val="32"/>
      <w:szCs w:val="32"/>
    </w:rPr>
  </w:style>
  <w:style w:type="character" w:customStyle="1" w:styleId="192">
    <w:name w:val="ca-21"/>
    <w:autoRedefine/>
    <w:qFormat/>
    <w:uiPriority w:val="0"/>
    <w:rPr>
      <w:rFonts w:hint="eastAsia" w:ascii="仿宋_GB2312" w:eastAsia="仿宋_GB2312"/>
      <w:b/>
      <w:bCs/>
      <w:spacing w:val="-20"/>
      <w:sz w:val="32"/>
      <w:szCs w:val="32"/>
    </w:rPr>
  </w:style>
  <w:style w:type="character" w:customStyle="1" w:styleId="193">
    <w:name w:val="style7 style11"/>
    <w:basedOn w:val="48"/>
    <w:autoRedefine/>
    <w:qFormat/>
    <w:uiPriority w:val="0"/>
  </w:style>
  <w:style w:type="character" w:customStyle="1" w:styleId="194">
    <w:name w:val="textindent"/>
    <w:basedOn w:val="48"/>
    <w:autoRedefine/>
    <w:qFormat/>
    <w:uiPriority w:val="0"/>
  </w:style>
  <w:style w:type="character" w:customStyle="1" w:styleId="195">
    <w:name w:val="headline-content2"/>
    <w:basedOn w:val="48"/>
    <w:autoRedefine/>
    <w:qFormat/>
    <w:uiPriority w:val="0"/>
  </w:style>
  <w:style w:type="character" w:customStyle="1" w:styleId="196">
    <w:name w:val="15"/>
    <w:basedOn w:val="48"/>
    <w:autoRedefine/>
    <w:qFormat/>
    <w:uiPriority w:val="0"/>
  </w:style>
  <w:style w:type="character" w:customStyle="1" w:styleId="197">
    <w:name w:val="apple-converted-space"/>
    <w:basedOn w:val="48"/>
    <w:autoRedefine/>
    <w:qFormat/>
    <w:uiPriority w:val="0"/>
  </w:style>
  <w:style w:type="character" w:customStyle="1" w:styleId="198">
    <w:name w:val="apple-style-span"/>
    <w:basedOn w:val="48"/>
    <w:autoRedefine/>
    <w:qFormat/>
    <w:uiPriority w:val="0"/>
  </w:style>
  <w:style w:type="character" w:customStyle="1" w:styleId="199">
    <w:name w:val="xp1"/>
    <w:autoRedefine/>
    <w:qFormat/>
    <w:uiPriority w:val="0"/>
    <w:rPr>
      <w:vanish/>
    </w:rPr>
  </w:style>
  <w:style w:type="character" w:customStyle="1" w:styleId="200">
    <w:name w:val="cb014"/>
    <w:basedOn w:val="48"/>
    <w:autoRedefine/>
    <w:qFormat/>
    <w:uiPriority w:val="0"/>
  </w:style>
  <w:style w:type="character" w:customStyle="1" w:styleId="201">
    <w:name w:val="t11"/>
    <w:autoRedefine/>
    <w:qFormat/>
    <w:uiPriority w:val="0"/>
    <w:rPr>
      <w:rFonts w:hint="eastAsia" w:ascii="ˎ̥" w:hAnsi="ˎ̥" w:eastAsia="ˎ̥"/>
      <w:color w:val="3A3A3A"/>
      <w:sz w:val="21"/>
      <w:szCs w:val="21"/>
    </w:rPr>
  </w:style>
  <w:style w:type="character" w:customStyle="1" w:styleId="202">
    <w:name w:val="文档结构图 字符1"/>
    <w:basedOn w:val="48"/>
    <w:autoRedefine/>
    <w:semiHidden/>
    <w:qFormat/>
    <w:uiPriority w:val="0"/>
    <w:rPr>
      <w:rFonts w:ascii="Microsoft YaHei UI" w:eastAsia="Microsoft YaHei UI" w:hAnsiTheme="minorEastAsia"/>
      <w:kern w:val="2"/>
      <w:sz w:val="18"/>
      <w:szCs w:val="18"/>
    </w:rPr>
  </w:style>
  <w:style w:type="character" w:customStyle="1" w:styleId="203">
    <w:name w:val="正文文本缩进 3 字符1"/>
    <w:basedOn w:val="48"/>
    <w:autoRedefine/>
    <w:semiHidden/>
    <w:qFormat/>
    <w:uiPriority w:val="0"/>
    <w:rPr>
      <w:rFonts w:asciiTheme="minorEastAsia" w:hAnsiTheme="minorEastAsia"/>
      <w:kern w:val="2"/>
      <w:sz w:val="16"/>
      <w:szCs w:val="16"/>
    </w:rPr>
  </w:style>
  <w:style w:type="character" w:customStyle="1" w:styleId="204">
    <w:name w:val="HTML 预设格式 字符1"/>
    <w:basedOn w:val="48"/>
    <w:autoRedefine/>
    <w:semiHidden/>
    <w:qFormat/>
    <w:uiPriority w:val="0"/>
    <w:rPr>
      <w:rFonts w:ascii="Courier New" w:hAnsi="Courier New" w:cs="Courier New"/>
      <w:kern w:val="2"/>
    </w:rPr>
  </w:style>
  <w:style w:type="character" w:customStyle="1" w:styleId="205">
    <w:name w:val="正文文本首行缩进 字符1"/>
    <w:basedOn w:val="64"/>
    <w:autoRedefine/>
    <w:semiHidden/>
    <w:qFormat/>
    <w:uiPriority w:val="0"/>
    <w:rPr>
      <w:rFonts w:eastAsia="LF_Kai" w:asciiTheme="minorEastAsia" w:hAnsiTheme="minorEastAsia"/>
      <w:kern w:val="2"/>
      <w:sz w:val="24"/>
      <w:szCs w:val="24"/>
    </w:rPr>
  </w:style>
  <w:style w:type="paragraph" w:customStyle="1" w:styleId="206">
    <w:name w:val="pa-3"/>
    <w:basedOn w:val="1"/>
    <w:autoRedefine/>
    <w:qFormat/>
    <w:uiPriority w:val="0"/>
    <w:pPr>
      <w:widowControl/>
      <w:spacing w:line="360" w:lineRule="atLeast"/>
      <w:ind w:firstLine="640" w:firstLineChars="0"/>
    </w:pPr>
    <w:rPr>
      <w:rFonts w:ascii="宋体" w:hAnsi="宋体" w:cs="宋体"/>
      <w:kern w:val="0"/>
    </w:rPr>
  </w:style>
  <w:style w:type="paragraph" w:customStyle="1" w:styleId="207">
    <w:name w:val="xl7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color w:val="000000"/>
      <w:kern w:val="0"/>
      <w:sz w:val="20"/>
      <w:szCs w:val="20"/>
    </w:rPr>
  </w:style>
  <w:style w:type="paragraph" w:customStyle="1" w:styleId="208">
    <w:name w:val="xl6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 w:val="20"/>
      <w:szCs w:val="20"/>
    </w:rPr>
  </w:style>
  <w:style w:type="paragraph" w:customStyle="1" w:styleId="209">
    <w:name w:val="样式 标题 3h33rd level3H3Level 3 Headlevel_3PIM 3sect1.2.3p..."/>
    <w:basedOn w:val="5"/>
    <w:autoRedefine/>
    <w:qFormat/>
    <w:uiPriority w:val="0"/>
    <w:pPr>
      <w:spacing w:before="0" w:beforeLines="0" w:after="0" w:afterLines="0"/>
      <w:ind w:firstLine="0" w:firstLineChars="0"/>
    </w:pPr>
    <w:rPr>
      <w:rFonts w:ascii="Times New Roman" w:hAnsi="Times New Roman" w:cs="宋体"/>
      <w:b w:val="0"/>
      <w:bCs w:val="0"/>
      <w:color w:val="000000"/>
      <w:sz w:val="24"/>
      <w:szCs w:val="24"/>
    </w:rPr>
  </w:style>
  <w:style w:type="paragraph" w:customStyle="1" w:styleId="210">
    <w:name w:val="xl7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1"/>
      <w:szCs w:val="21"/>
    </w:rPr>
  </w:style>
  <w:style w:type="paragraph" w:customStyle="1" w:styleId="211">
    <w:name w:val="xl8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rPr>
  </w:style>
  <w:style w:type="paragraph" w:customStyle="1" w:styleId="212">
    <w:name w:val="Char Char1 Char"/>
    <w:basedOn w:val="1"/>
    <w:autoRedefine/>
    <w:qFormat/>
    <w:uiPriority w:val="0"/>
    <w:pPr>
      <w:spacing w:line="240" w:lineRule="auto"/>
      <w:ind w:firstLine="0" w:firstLineChars="0"/>
    </w:pPr>
    <w:rPr>
      <w:rFonts w:ascii="Times New Roman" w:hAnsi="Times New Roman"/>
      <w:sz w:val="21"/>
    </w:rPr>
  </w:style>
  <w:style w:type="paragraph" w:customStyle="1" w:styleId="213">
    <w:name w:val="xl7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1"/>
      <w:szCs w:val="21"/>
    </w:rPr>
  </w:style>
  <w:style w:type="paragraph" w:customStyle="1" w:styleId="214">
    <w:name w:val="xl7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0"/>
      <w:szCs w:val="20"/>
    </w:rPr>
  </w:style>
  <w:style w:type="paragraph" w:customStyle="1" w:styleId="215">
    <w:name w:val="xl8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rPr>
  </w:style>
  <w:style w:type="paragraph" w:customStyle="1" w:styleId="216">
    <w:name w:val="样式3"/>
    <w:basedOn w:val="3"/>
    <w:autoRedefine/>
    <w:qFormat/>
    <w:uiPriority w:val="0"/>
    <w:pPr>
      <w:spacing w:before="340" w:beforeLines="0" w:after="330" w:afterLines="0" w:line="576" w:lineRule="auto"/>
      <w:ind w:firstLine="0" w:firstLineChars="0"/>
      <w:jc w:val="center"/>
    </w:pPr>
    <w:rPr>
      <w:rFonts w:ascii="黑体" w:hAnsi="Times New Roman" w:eastAsia="黑体"/>
      <w:sz w:val="44"/>
    </w:rPr>
  </w:style>
  <w:style w:type="paragraph" w:customStyle="1" w:styleId="217">
    <w:name w:val="xl64"/>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rPr>
  </w:style>
  <w:style w:type="paragraph" w:customStyle="1" w:styleId="218">
    <w:name w:val="xl7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 w:val="20"/>
      <w:szCs w:val="20"/>
    </w:rPr>
  </w:style>
  <w:style w:type="paragraph" w:customStyle="1" w:styleId="219">
    <w:name w:val="p18"/>
    <w:basedOn w:val="1"/>
    <w:autoRedefine/>
    <w:qFormat/>
    <w:uiPriority w:val="0"/>
    <w:pPr>
      <w:widowControl/>
      <w:spacing w:line="240" w:lineRule="auto"/>
      <w:ind w:firstLine="0" w:firstLineChars="0"/>
    </w:pPr>
    <w:rPr>
      <w:rFonts w:ascii="Times New Roman" w:hAnsi="Times New Roman"/>
      <w:kern w:val="0"/>
      <w:sz w:val="21"/>
      <w:szCs w:val="21"/>
    </w:rPr>
  </w:style>
  <w:style w:type="paragraph" w:customStyle="1" w:styleId="220">
    <w:name w:val="Char Char Char Char Char Char Char Char Char Char Char Char Char Char Char Char Char Char Char Char Char Char Char Char Char Char Char Char Char Char Char Char Char"/>
    <w:basedOn w:val="1"/>
    <w:autoRedefine/>
    <w:qFormat/>
    <w:uiPriority w:val="0"/>
    <w:pPr>
      <w:widowControl/>
      <w:spacing w:after="160" w:line="240" w:lineRule="exact"/>
      <w:ind w:firstLine="0" w:firstLineChars="0"/>
      <w:jc w:val="left"/>
    </w:pPr>
    <w:rPr>
      <w:rFonts w:ascii="Verdana" w:hAnsi="Verdana" w:eastAsia="仿宋_GB2312" w:cs="Verdana"/>
      <w:kern w:val="0"/>
      <w:lang w:eastAsia="en-US"/>
    </w:rPr>
  </w:style>
  <w:style w:type="paragraph" w:customStyle="1" w:styleId="221">
    <w:name w:val="样式2"/>
    <w:basedOn w:val="3"/>
    <w:autoRedefine/>
    <w:qFormat/>
    <w:uiPriority w:val="0"/>
    <w:pPr>
      <w:spacing w:before="340" w:beforeLines="0" w:after="330" w:afterLines="0" w:line="576" w:lineRule="auto"/>
      <w:ind w:firstLine="0" w:firstLineChars="0"/>
      <w:jc w:val="center"/>
    </w:pPr>
    <w:rPr>
      <w:rFonts w:ascii="Times New Roman" w:hAnsi="Times New Roman"/>
      <w:sz w:val="44"/>
    </w:rPr>
  </w:style>
  <w:style w:type="paragraph" w:customStyle="1" w:styleId="222">
    <w:name w:val="xl7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0"/>
      <w:szCs w:val="20"/>
    </w:rPr>
  </w:style>
  <w:style w:type="paragraph" w:customStyle="1" w:styleId="223">
    <w:name w:val="正文 New New New New"/>
    <w:autoRedefine/>
    <w:qFormat/>
    <w:uiPriority w:val="0"/>
    <w:pPr>
      <w:widowControl w:val="0"/>
      <w:jc w:val="both"/>
    </w:pPr>
    <w:rPr>
      <w:rFonts w:ascii="Times New Roman" w:hAnsi="Times New Roman" w:eastAsia="宋体" w:cs="Times New Roman"/>
      <w:kern w:val="2"/>
      <w:sz w:val="21"/>
      <w:lang w:val="en-US" w:eastAsia="zh-CN" w:bidi="ar-SA"/>
    </w:rPr>
  </w:style>
  <w:style w:type="paragraph" w:customStyle="1" w:styleId="224">
    <w:name w:val="样式5"/>
    <w:basedOn w:val="3"/>
    <w:autoRedefine/>
    <w:qFormat/>
    <w:uiPriority w:val="0"/>
    <w:pPr>
      <w:spacing w:before="340" w:beforeLines="0" w:after="330" w:afterLines="0" w:line="576" w:lineRule="auto"/>
      <w:ind w:firstLine="0" w:firstLineChars="0"/>
      <w:jc w:val="left"/>
    </w:pPr>
    <w:rPr>
      <w:rFonts w:ascii="黑体" w:hAnsi="Times New Roman" w:eastAsia="黑体"/>
      <w:sz w:val="44"/>
    </w:rPr>
  </w:style>
  <w:style w:type="paragraph" w:customStyle="1" w:styleId="225">
    <w:name w:val="样式 标题 22nd levelh22Header 2l2Titre2Head 2H21.1. 标题 2DO..."/>
    <w:basedOn w:val="4"/>
    <w:autoRedefine/>
    <w:qFormat/>
    <w:uiPriority w:val="0"/>
    <w:pPr>
      <w:spacing w:before="0" w:after="0" w:afterLines="0"/>
      <w:ind w:firstLine="0" w:firstLineChars="0"/>
      <w:jc w:val="both"/>
    </w:pPr>
    <w:rPr>
      <w:rFonts w:ascii="Times New Roman" w:hAnsi="Times New Roman" w:eastAsia="黑体" w:cs="宋体"/>
      <w:b w:val="0"/>
      <w:bCs w:val="0"/>
      <w:color w:val="000000"/>
      <w:sz w:val="24"/>
      <w:szCs w:val="24"/>
    </w:rPr>
  </w:style>
  <w:style w:type="paragraph" w:customStyle="1" w:styleId="226">
    <w:name w:val="font5"/>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227">
    <w:name w:val="样式 标题 2 + 首行缩进:  2 字符"/>
    <w:basedOn w:val="4"/>
    <w:autoRedefine/>
    <w:qFormat/>
    <w:uiPriority w:val="0"/>
    <w:pPr>
      <w:keepNext w:val="0"/>
      <w:keepLines w:val="0"/>
      <w:widowControl/>
      <w:spacing w:before="260" w:beforeLines="0" w:after="260" w:afterLines="0" w:line="720" w:lineRule="auto"/>
      <w:ind w:firstLine="0" w:firstLineChars="0"/>
      <w:jc w:val="both"/>
    </w:pPr>
    <w:rPr>
      <w:rFonts w:ascii="黑体" w:hAnsi="宋体" w:cs="宋体"/>
    </w:rPr>
  </w:style>
  <w:style w:type="paragraph" w:customStyle="1" w:styleId="228">
    <w:name w:val="xl6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0"/>
      <w:szCs w:val="20"/>
    </w:rPr>
  </w:style>
  <w:style w:type="paragraph" w:customStyle="1" w:styleId="229">
    <w:name w:val="Char"/>
    <w:basedOn w:val="1"/>
    <w:autoRedefine/>
    <w:qFormat/>
    <w:uiPriority w:val="0"/>
    <w:pPr>
      <w:widowControl/>
      <w:spacing w:after="160" w:line="240" w:lineRule="exact"/>
      <w:ind w:firstLine="0" w:firstLineChars="0"/>
      <w:jc w:val="left"/>
    </w:pPr>
    <w:rPr>
      <w:rFonts w:ascii="Tahoma" w:hAnsi="Tahoma"/>
      <w:kern w:val="0"/>
      <w:lang w:eastAsia="en-US"/>
    </w:rPr>
  </w:style>
  <w:style w:type="paragraph" w:customStyle="1" w:styleId="230">
    <w:name w:val="正文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31">
    <w:name w:val="xl81"/>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0"/>
      <w:szCs w:val="20"/>
    </w:rPr>
  </w:style>
  <w:style w:type="paragraph" w:customStyle="1" w:styleId="232">
    <w:name w:val="xl71"/>
    <w:basedOn w:val="1"/>
    <w:autoRedefine/>
    <w:qFormat/>
    <w:uiPriority w:val="0"/>
    <w:pPr>
      <w:widowControl/>
      <w:spacing w:before="100" w:beforeAutospacing="1" w:after="100" w:afterAutospacing="1" w:line="240" w:lineRule="auto"/>
      <w:ind w:firstLine="0" w:firstLineChars="0"/>
      <w:jc w:val="left"/>
    </w:pPr>
    <w:rPr>
      <w:rFonts w:ascii="宋体" w:hAnsi="宋体" w:cs="宋体"/>
      <w:b/>
      <w:bCs/>
      <w:kern w:val="0"/>
    </w:rPr>
  </w:style>
  <w:style w:type="paragraph" w:customStyle="1" w:styleId="233">
    <w:name w:val="p16"/>
    <w:basedOn w:val="1"/>
    <w:autoRedefine/>
    <w:qFormat/>
    <w:uiPriority w:val="0"/>
    <w:pPr>
      <w:widowControl/>
      <w:spacing w:line="480" w:lineRule="atLeast"/>
      <w:ind w:firstLine="0" w:firstLineChars="0"/>
      <w:jc w:val="left"/>
    </w:pPr>
    <w:rPr>
      <w:rFonts w:ascii="宋体" w:hAnsi="宋体" w:cs="宋体"/>
      <w:kern w:val="0"/>
      <w:sz w:val="30"/>
      <w:szCs w:val="30"/>
    </w:rPr>
  </w:style>
  <w:style w:type="paragraph" w:customStyle="1" w:styleId="234">
    <w:name w:val="font6"/>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235">
    <w:name w:val="xl66"/>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rPr>
  </w:style>
  <w:style w:type="paragraph" w:customStyle="1" w:styleId="236">
    <w:name w:val="xl84"/>
    <w:basedOn w:val="1"/>
    <w:autoRedefine/>
    <w:qFormat/>
    <w:uiPriority w:val="0"/>
    <w:pPr>
      <w:widowControl/>
      <w:spacing w:before="100" w:beforeAutospacing="1" w:after="100" w:afterAutospacing="1" w:line="240" w:lineRule="auto"/>
      <w:ind w:firstLine="0" w:firstLineChars="0"/>
      <w:jc w:val="center"/>
    </w:pPr>
    <w:rPr>
      <w:rFonts w:ascii="宋体" w:hAnsi="宋体" w:cs="宋体"/>
      <w:kern w:val="0"/>
    </w:rPr>
  </w:style>
  <w:style w:type="paragraph" w:customStyle="1" w:styleId="237">
    <w:name w:val="xl6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 w:val="20"/>
      <w:szCs w:val="20"/>
    </w:rPr>
  </w:style>
  <w:style w:type="paragraph" w:customStyle="1" w:styleId="238">
    <w:name w:val="Char Char Char Char Char Char Char1"/>
    <w:basedOn w:val="1"/>
    <w:autoRedefine/>
    <w:qFormat/>
    <w:uiPriority w:val="0"/>
    <w:pPr>
      <w:spacing w:line="240" w:lineRule="auto"/>
      <w:ind w:firstLine="0" w:firstLineChars="0"/>
    </w:pPr>
    <w:rPr>
      <w:rFonts w:ascii="Times New Roman" w:hAnsi="Times New Roman"/>
      <w:sz w:val="21"/>
    </w:rPr>
  </w:style>
  <w:style w:type="paragraph" w:customStyle="1" w:styleId="239">
    <w:name w:val="Char Char Char Char Char Char Char Char Char Char Char Char Char"/>
    <w:basedOn w:val="1"/>
    <w:autoRedefine/>
    <w:qFormat/>
    <w:uiPriority w:val="0"/>
    <w:pPr>
      <w:spacing w:line="240" w:lineRule="auto"/>
      <w:ind w:firstLine="0" w:firstLineChars="0"/>
    </w:pPr>
    <w:rPr>
      <w:rFonts w:ascii="Times New Roman" w:hAnsi="Times New Roman"/>
      <w:sz w:val="21"/>
      <w:szCs w:val="21"/>
    </w:rPr>
  </w:style>
  <w:style w:type="paragraph" w:customStyle="1" w:styleId="240">
    <w:name w:val="xl8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rPr>
  </w:style>
  <w:style w:type="paragraph" w:customStyle="1" w:styleId="241">
    <w:name w:val="22222222222"/>
    <w:basedOn w:val="1"/>
    <w:autoRedefine/>
    <w:qFormat/>
    <w:uiPriority w:val="0"/>
    <w:pPr>
      <w:spacing w:line="240" w:lineRule="auto"/>
      <w:ind w:firstLine="643"/>
    </w:pPr>
    <w:rPr>
      <w:rFonts w:ascii="Times New Roman" w:hAnsi="Times New Roman"/>
      <w:b/>
      <w:szCs w:val="32"/>
    </w:rPr>
  </w:style>
  <w:style w:type="paragraph" w:customStyle="1" w:styleId="242">
    <w:name w:val="xl7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pPr>
    <w:rPr>
      <w:rFonts w:ascii="宋体" w:hAnsi="宋体" w:cs="宋体"/>
      <w:kern w:val="0"/>
      <w:sz w:val="20"/>
      <w:szCs w:val="20"/>
    </w:rPr>
  </w:style>
  <w:style w:type="paragraph" w:customStyle="1" w:styleId="243">
    <w:name w:val="W章节"/>
    <w:basedOn w:val="1"/>
    <w:autoRedefine/>
    <w:qFormat/>
    <w:uiPriority w:val="0"/>
    <w:pPr>
      <w:spacing w:beforeLines="50" w:line="240" w:lineRule="auto"/>
      <w:ind w:firstLine="0" w:firstLineChars="0"/>
      <w:jc w:val="center"/>
      <w:outlineLvl w:val="0"/>
    </w:pPr>
    <w:rPr>
      <w:rFonts w:ascii="黑体" w:hAnsi="宋体"/>
      <w:b/>
      <w:bCs/>
      <w:kern w:val="28"/>
    </w:rPr>
  </w:style>
  <w:style w:type="paragraph" w:customStyle="1" w:styleId="244">
    <w:name w:val="Char Char Char Char Char Char Char Char Char Char"/>
    <w:basedOn w:val="1"/>
    <w:autoRedefine/>
    <w:qFormat/>
    <w:uiPriority w:val="0"/>
    <w:pPr>
      <w:spacing w:line="240" w:lineRule="auto"/>
      <w:ind w:firstLine="0" w:firstLineChars="0"/>
    </w:pPr>
    <w:rPr>
      <w:rFonts w:ascii="Times New Roman" w:hAnsi="Times New Roman"/>
      <w:sz w:val="21"/>
    </w:rPr>
  </w:style>
  <w:style w:type="paragraph" w:customStyle="1" w:styleId="245">
    <w:name w:val="Char Char"/>
    <w:basedOn w:val="1"/>
    <w:autoRedefine/>
    <w:qFormat/>
    <w:uiPriority w:val="0"/>
    <w:pPr>
      <w:spacing w:line="240" w:lineRule="auto"/>
      <w:ind w:firstLine="0" w:firstLineChars="0"/>
    </w:pPr>
    <w:rPr>
      <w:rFonts w:ascii="Times New Roman" w:hAnsi="Times New Roman"/>
      <w:sz w:val="21"/>
    </w:rPr>
  </w:style>
  <w:style w:type="paragraph" w:customStyle="1" w:styleId="246">
    <w:name w:val="Char Char1 Char Char Char Char Char Char Char"/>
    <w:basedOn w:val="1"/>
    <w:autoRedefine/>
    <w:qFormat/>
    <w:uiPriority w:val="0"/>
    <w:pPr>
      <w:spacing w:line="240" w:lineRule="auto"/>
      <w:ind w:firstLine="0" w:firstLineChars="0"/>
    </w:pPr>
    <w:rPr>
      <w:rFonts w:ascii="Times New Roman" w:hAnsi="Times New Roman"/>
      <w:sz w:val="21"/>
      <w:szCs w:val="20"/>
    </w:rPr>
  </w:style>
  <w:style w:type="paragraph" w:customStyle="1" w:styleId="247">
    <w:name w:val="Char1"/>
    <w:basedOn w:val="1"/>
    <w:autoRedefine/>
    <w:qFormat/>
    <w:uiPriority w:val="0"/>
    <w:pPr>
      <w:spacing w:line="240" w:lineRule="auto"/>
      <w:ind w:firstLine="0" w:firstLineChars="0"/>
    </w:pPr>
    <w:rPr>
      <w:rFonts w:ascii="Tahoma" w:hAnsi="Tahoma"/>
      <w:szCs w:val="20"/>
    </w:rPr>
  </w:style>
  <w:style w:type="paragraph" w:customStyle="1" w:styleId="248">
    <w:name w:val="样式4"/>
    <w:basedOn w:val="3"/>
    <w:autoRedefine/>
    <w:qFormat/>
    <w:uiPriority w:val="0"/>
    <w:pPr>
      <w:spacing w:before="340" w:beforeLines="0" w:after="330" w:afterLines="0" w:line="576" w:lineRule="auto"/>
      <w:ind w:firstLine="0" w:firstLineChars="0"/>
      <w:jc w:val="left"/>
    </w:pPr>
    <w:rPr>
      <w:rFonts w:ascii="黑体" w:hAnsi="Times New Roman" w:eastAsia="黑体"/>
      <w:sz w:val="44"/>
    </w:rPr>
  </w:style>
  <w:style w:type="paragraph" w:customStyle="1" w:styleId="249">
    <w:name w:val="font7"/>
    <w:basedOn w:val="1"/>
    <w:autoRedefine/>
    <w:qFormat/>
    <w:uiPriority w:val="0"/>
    <w:pPr>
      <w:widowControl/>
      <w:spacing w:before="100" w:beforeAutospacing="1" w:after="100" w:afterAutospacing="1" w:line="240" w:lineRule="auto"/>
      <w:ind w:firstLine="0" w:firstLineChars="0"/>
      <w:jc w:val="left"/>
    </w:pPr>
    <w:rPr>
      <w:rFonts w:ascii="宋体" w:hAnsi="宋体" w:cs="宋体"/>
      <w:kern w:val="0"/>
      <w:sz w:val="20"/>
      <w:szCs w:val="20"/>
    </w:rPr>
  </w:style>
  <w:style w:type="paragraph" w:customStyle="1" w:styleId="250">
    <w:name w:val="正文 New"/>
    <w:autoRedefine/>
    <w:qFormat/>
    <w:uiPriority w:val="0"/>
    <w:pPr>
      <w:widowControl w:val="0"/>
      <w:jc w:val="both"/>
    </w:pPr>
    <w:rPr>
      <w:rFonts w:ascii="Arial" w:hAnsi="Arial" w:eastAsia="宋体" w:cs="Times New Roman"/>
      <w:kern w:val="2"/>
      <w:sz w:val="21"/>
      <w:lang w:val="en-US" w:eastAsia="zh-CN" w:bidi="ar-SA"/>
    </w:rPr>
  </w:style>
  <w:style w:type="paragraph" w:customStyle="1" w:styleId="251">
    <w:name w:val="xl7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18"/>
      <w:szCs w:val="18"/>
    </w:rPr>
  </w:style>
  <w:style w:type="paragraph" w:customStyle="1" w:styleId="252">
    <w:name w:val="xl6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 w:val="20"/>
      <w:szCs w:val="20"/>
    </w:rPr>
  </w:style>
  <w:style w:type="paragraph" w:customStyle="1" w:styleId="253">
    <w:name w:val="Char Char Char Char Char Char"/>
    <w:basedOn w:val="1"/>
    <w:autoRedefine/>
    <w:qFormat/>
    <w:uiPriority w:val="0"/>
    <w:pPr>
      <w:spacing w:line="240" w:lineRule="auto"/>
      <w:ind w:firstLine="0" w:firstLineChars="0"/>
    </w:pPr>
    <w:rPr>
      <w:rFonts w:ascii="Times New Roman" w:hAnsi="Times New Roman"/>
      <w:sz w:val="21"/>
    </w:rPr>
  </w:style>
  <w:style w:type="paragraph" w:customStyle="1" w:styleId="254">
    <w:name w:val="W一、"/>
    <w:basedOn w:val="1"/>
    <w:autoRedefine/>
    <w:qFormat/>
    <w:uiPriority w:val="0"/>
    <w:pPr>
      <w:snapToGrid w:val="0"/>
      <w:spacing w:line="240" w:lineRule="auto"/>
      <w:ind w:left="200" w:leftChars="200" w:firstLine="0" w:firstLineChars="0"/>
      <w:outlineLvl w:val="1"/>
    </w:pPr>
    <w:rPr>
      <w:rFonts w:ascii="Times New Roman" w:hAnsi="Times New Roman"/>
      <w:b/>
      <w:bCs/>
      <w:color w:val="000000"/>
      <w:kern w:val="28"/>
      <w:sz w:val="21"/>
    </w:rPr>
  </w:style>
  <w:style w:type="paragraph" w:customStyle="1" w:styleId="255">
    <w:name w:val="Char Char Char Char Char Char Char Char Char Char Char Char Char Char Char Char"/>
    <w:basedOn w:val="1"/>
    <w:autoRedefine/>
    <w:qFormat/>
    <w:uiPriority w:val="0"/>
    <w:pPr>
      <w:widowControl/>
      <w:spacing w:after="160" w:line="240" w:lineRule="exact"/>
      <w:ind w:firstLine="0" w:firstLineChars="0"/>
      <w:jc w:val="left"/>
    </w:pPr>
    <w:rPr>
      <w:rFonts w:ascii="Verdana" w:hAnsi="Verdana" w:eastAsia="仿宋_GB2312"/>
      <w:kern w:val="0"/>
      <w:sz w:val="30"/>
      <w:szCs w:val="30"/>
      <w:lang w:eastAsia="en-US"/>
    </w:rPr>
  </w:style>
  <w:style w:type="paragraph" w:customStyle="1" w:styleId="256">
    <w:name w:val="正文 New New New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57">
    <w:name w:val="正文 New New New"/>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258">
    <w:name w:val="Char1 Char Char Char"/>
    <w:basedOn w:val="1"/>
    <w:autoRedefine/>
    <w:qFormat/>
    <w:uiPriority w:val="0"/>
    <w:pPr>
      <w:spacing w:line="240" w:lineRule="auto"/>
      <w:ind w:firstLine="0" w:firstLineChars="0"/>
    </w:pPr>
    <w:rPr>
      <w:rFonts w:ascii="Tahoma" w:hAnsi="Tahoma"/>
      <w:spacing w:val="-24"/>
      <w:szCs w:val="21"/>
    </w:rPr>
  </w:style>
  <w:style w:type="paragraph" w:customStyle="1" w:styleId="259">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color w:val="000000"/>
      <w:kern w:val="0"/>
      <w:sz w:val="20"/>
      <w:szCs w:val="20"/>
    </w:rPr>
  </w:style>
  <w:style w:type="table" w:customStyle="1" w:styleId="260">
    <w:name w:val="网格型1"/>
    <w:basedOn w:val="46"/>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61">
    <w:name w:val="标题 2 Char"/>
    <w:autoRedefine/>
    <w:qFormat/>
    <w:uiPriority w:val="0"/>
    <w:rPr>
      <w:b/>
      <w:kern w:val="2"/>
      <w:sz w:val="30"/>
      <w:szCs w:val="30"/>
    </w:rPr>
  </w:style>
  <w:style w:type="character" w:customStyle="1" w:styleId="262">
    <w:name w:val="标题 4 Char"/>
    <w:autoRedefine/>
    <w:qFormat/>
    <w:uiPriority w:val="0"/>
    <w:rPr>
      <w:bCs/>
      <w:kern w:val="2"/>
      <w:sz w:val="28"/>
      <w:szCs w:val="28"/>
    </w:rPr>
  </w:style>
  <w:style w:type="character" w:customStyle="1" w:styleId="263">
    <w:name w:val="标题 5 Char"/>
    <w:autoRedefine/>
    <w:qFormat/>
    <w:uiPriority w:val="0"/>
    <w:rPr>
      <w:bCs/>
      <w:kern w:val="2"/>
      <w:sz w:val="28"/>
      <w:szCs w:val="28"/>
    </w:rPr>
  </w:style>
  <w:style w:type="character" w:customStyle="1" w:styleId="264">
    <w:name w:val="标题 6 Char"/>
    <w:autoRedefine/>
    <w:qFormat/>
    <w:uiPriority w:val="0"/>
    <w:rPr>
      <w:rFonts w:ascii="Arial" w:hAnsi="Arial" w:eastAsia="黑体"/>
      <w:b/>
      <w:bCs/>
      <w:kern w:val="2"/>
      <w:sz w:val="24"/>
      <w:szCs w:val="24"/>
    </w:rPr>
  </w:style>
  <w:style w:type="character" w:customStyle="1" w:styleId="265">
    <w:name w:val="标题 7 Char"/>
    <w:autoRedefine/>
    <w:qFormat/>
    <w:uiPriority w:val="0"/>
    <w:rPr>
      <w:b/>
      <w:bCs/>
      <w:kern w:val="2"/>
      <w:sz w:val="24"/>
      <w:szCs w:val="24"/>
    </w:rPr>
  </w:style>
  <w:style w:type="character" w:customStyle="1" w:styleId="266">
    <w:name w:val="标题 8 Char"/>
    <w:autoRedefine/>
    <w:qFormat/>
    <w:uiPriority w:val="0"/>
    <w:rPr>
      <w:rFonts w:ascii="Arial" w:hAnsi="Arial" w:eastAsia="黑体"/>
      <w:kern w:val="2"/>
      <w:sz w:val="24"/>
      <w:szCs w:val="24"/>
    </w:rPr>
  </w:style>
  <w:style w:type="character" w:customStyle="1" w:styleId="267">
    <w:name w:val="标题 9 Char"/>
    <w:autoRedefine/>
    <w:qFormat/>
    <w:uiPriority w:val="0"/>
    <w:rPr>
      <w:rFonts w:ascii="Arial" w:hAnsi="Arial" w:eastAsia="黑体"/>
      <w:kern w:val="2"/>
      <w:sz w:val="21"/>
      <w:szCs w:val="21"/>
    </w:rPr>
  </w:style>
  <w:style w:type="character" w:customStyle="1" w:styleId="268">
    <w:name w:val="批注框文本 Char"/>
    <w:autoRedefine/>
    <w:qFormat/>
    <w:uiPriority w:val="0"/>
    <w:rPr>
      <w:kern w:val="2"/>
      <w:sz w:val="18"/>
      <w:szCs w:val="18"/>
    </w:rPr>
  </w:style>
  <w:style w:type="character" w:customStyle="1" w:styleId="269">
    <w:name w:val="日期 Char"/>
    <w:autoRedefine/>
    <w:qFormat/>
    <w:uiPriority w:val="0"/>
    <w:rPr>
      <w:kern w:val="2"/>
      <w:sz w:val="21"/>
      <w:szCs w:val="24"/>
    </w:rPr>
  </w:style>
  <w:style w:type="character" w:customStyle="1" w:styleId="270">
    <w:name w:val="正文文本 Char"/>
    <w:autoRedefine/>
    <w:qFormat/>
    <w:uiPriority w:val="0"/>
    <w:rPr>
      <w:kern w:val="2"/>
      <w:sz w:val="21"/>
      <w:szCs w:val="24"/>
    </w:rPr>
  </w:style>
  <w:style w:type="character" w:customStyle="1" w:styleId="271">
    <w:name w:val="页脚 Char"/>
    <w:autoRedefine/>
    <w:qFormat/>
    <w:uiPriority w:val="99"/>
    <w:rPr>
      <w:kern w:val="2"/>
      <w:sz w:val="18"/>
      <w:szCs w:val="18"/>
    </w:rPr>
  </w:style>
  <w:style w:type="character" w:customStyle="1" w:styleId="272">
    <w:name w:val="页眉 Char"/>
    <w:autoRedefine/>
    <w:qFormat/>
    <w:uiPriority w:val="0"/>
    <w:rPr>
      <w:kern w:val="2"/>
      <w:sz w:val="18"/>
      <w:szCs w:val="18"/>
    </w:rPr>
  </w:style>
  <w:style w:type="paragraph" w:customStyle="1" w:styleId="273">
    <w:name w:val="_Style 268"/>
    <w:basedOn w:val="1"/>
    <w:next w:val="1"/>
    <w:autoRedefine/>
    <w:qFormat/>
    <w:uiPriority w:val="39"/>
    <w:pPr>
      <w:spacing w:line="240" w:lineRule="auto"/>
      <w:ind w:firstLine="0" w:firstLineChars="0"/>
    </w:pPr>
    <w:rPr>
      <w:rFonts w:ascii="Times New Roman" w:hAnsi="Times New Roman"/>
      <w:sz w:val="21"/>
    </w:rPr>
  </w:style>
  <w:style w:type="paragraph" w:customStyle="1" w:styleId="274">
    <w:name w:val="Char Char Char Char Char Char Char Char Char1 Char Char Char Char1"/>
    <w:basedOn w:val="1"/>
    <w:autoRedefine/>
    <w:qFormat/>
    <w:uiPriority w:val="0"/>
    <w:pPr>
      <w:spacing w:line="240" w:lineRule="auto"/>
      <w:ind w:firstLine="0" w:firstLineChars="0"/>
    </w:pPr>
    <w:rPr>
      <w:rFonts w:ascii="Times New Roman" w:hAnsi="Times New Roman"/>
    </w:rPr>
  </w:style>
  <w:style w:type="paragraph" w:customStyle="1" w:styleId="275">
    <w:name w:val="修订1"/>
    <w:autoRedefine/>
    <w:hidden/>
    <w:unhideWhenUsed/>
    <w:qFormat/>
    <w:uiPriority w:val="99"/>
    <w:rPr>
      <w:rFonts w:eastAsia="宋体" w:cs="Times New Roman" w:asciiTheme="minorEastAsia" w:hAnsiTheme="minorEastAsia"/>
      <w:kern w:val="2"/>
      <w:sz w:val="24"/>
      <w:szCs w:val="24"/>
      <w:lang w:val="en-US" w:eastAsia="zh-CN" w:bidi="ar-SA"/>
    </w:rPr>
  </w:style>
  <w:style w:type="character" w:customStyle="1" w:styleId="276">
    <w:name w:val="正文文本缩进 Char"/>
    <w:autoRedefine/>
    <w:qFormat/>
    <w:locked/>
    <w:uiPriority w:val="0"/>
    <w:rPr>
      <w:szCs w:val="24"/>
    </w:rPr>
  </w:style>
  <w:style w:type="character" w:customStyle="1" w:styleId="277">
    <w:name w:val="正文文本缩进 Char1"/>
    <w:autoRedefine/>
    <w:qFormat/>
    <w:uiPriority w:val="0"/>
    <w:rPr>
      <w:kern w:val="2"/>
      <w:sz w:val="21"/>
      <w:szCs w:val="24"/>
    </w:rPr>
  </w:style>
  <w:style w:type="character" w:customStyle="1" w:styleId="278">
    <w:name w:val="纯文本 Char1"/>
    <w:autoRedefine/>
    <w:qFormat/>
    <w:uiPriority w:val="0"/>
    <w:rPr>
      <w:rFonts w:ascii="宋体" w:hAnsi="Courier New" w:cs="Courier New"/>
      <w:kern w:val="2"/>
      <w:sz w:val="21"/>
      <w:szCs w:val="21"/>
    </w:rPr>
  </w:style>
  <w:style w:type="character" w:customStyle="1" w:styleId="279">
    <w:name w:val="正文文本 2 Char1"/>
    <w:autoRedefine/>
    <w:qFormat/>
    <w:uiPriority w:val="0"/>
    <w:rPr>
      <w:kern w:val="2"/>
      <w:sz w:val="21"/>
      <w:szCs w:val="24"/>
    </w:rPr>
  </w:style>
  <w:style w:type="character" w:customStyle="1" w:styleId="280">
    <w:name w:val="纯文本 Char"/>
    <w:autoRedefine/>
    <w:qFormat/>
    <w:locked/>
    <w:uiPriority w:val="0"/>
    <w:rPr>
      <w:rFonts w:ascii="宋体" w:hAnsi="Courier New" w:eastAsia="仿宋_GB2312"/>
      <w:sz w:val="32"/>
      <w:szCs w:val="21"/>
    </w:rPr>
  </w:style>
  <w:style w:type="character" w:customStyle="1" w:styleId="281">
    <w:name w:val="正文文本缩进 3 Char1"/>
    <w:autoRedefine/>
    <w:qFormat/>
    <w:uiPriority w:val="0"/>
    <w:rPr>
      <w:kern w:val="2"/>
      <w:sz w:val="16"/>
      <w:szCs w:val="16"/>
    </w:rPr>
  </w:style>
  <w:style w:type="character" w:customStyle="1" w:styleId="282">
    <w:name w:val="正文文本 2 Char"/>
    <w:autoRedefine/>
    <w:qFormat/>
    <w:locked/>
    <w:uiPriority w:val="0"/>
    <w:rPr>
      <w:szCs w:val="21"/>
    </w:rPr>
  </w:style>
  <w:style w:type="character" w:customStyle="1" w:styleId="283">
    <w:name w:val="正文首行缩进 Char1"/>
    <w:basedOn w:val="270"/>
    <w:autoRedefine/>
    <w:qFormat/>
    <w:uiPriority w:val="0"/>
    <w:rPr>
      <w:kern w:val="2"/>
      <w:sz w:val="21"/>
      <w:szCs w:val="24"/>
    </w:rPr>
  </w:style>
  <w:style w:type="character" w:customStyle="1" w:styleId="284">
    <w:name w:val="HTML 预设格式 Char"/>
    <w:autoRedefine/>
    <w:qFormat/>
    <w:locked/>
    <w:uiPriority w:val="0"/>
    <w:rPr>
      <w:rFonts w:ascii="黑体" w:hAnsi="Courier New" w:eastAsia="黑体"/>
    </w:rPr>
  </w:style>
  <w:style w:type="character" w:customStyle="1" w:styleId="285">
    <w:name w:val="正文文本缩进 2 Char"/>
    <w:autoRedefine/>
    <w:qFormat/>
    <w:locked/>
    <w:uiPriority w:val="0"/>
    <w:rPr>
      <w:szCs w:val="24"/>
    </w:rPr>
  </w:style>
  <w:style w:type="character" w:customStyle="1" w:styleId="286">
    <w:name w:val="文档结构图 Char1"/>
    <w:autoRedefine/>
    <w:qFormat/>
    <w:uiPriority w:val="0"/>
    <w:rPr>
      <w:rFonts w:ascii="宋体"/>
      <w:kern w:val="2"/>
      <w:sz w:val="18"/>
      <w:szCs w:val="18"/>
    </w:rPr>
  </w:style>
  <w:style w:type="character" w:customStyle="1" w:styleId="287">
    <w:name w:val="文档结构图 Char"/>
    <w:autoRedefine/>
    <w:qFormat/>
    <w:locked/>
    <w:uiPriority w:val="0"/>
    <w:rPr>
      <w:szCs w:val="21"/>
      <w:shd w:val="clear" w:color="auto" w:fill="000080"/>
    </w:rPr>
  </w:style>
  <w:style w:type="character" w:customStyle="1" w:styleId="288">
    <w:name w:val="正文首行缩进 Char"/>
    <w:link w:val="289"/>
    <w:autoRedefine/>
    <w:qFormat/>
    <w:locked/>
    <w:uiPriority w:val="34"/>
    <w:rPr>
      <w:kern w:val="2"/>
      <w:sz w:val="24"/>
      <w:szCs w:val="24"/>
    </w:rPr>
  </w:style>
  <w:style w:type="paragraph" w:customStyle="1" w:styleId="289">
    <w:name w:val="_Style 287"/>
    <w:basedOn w:val="1"/>
    <w:next w:val="112"/>
    <w:link w:val="288"/>
    <w:autoRedefine/>
    <w:qFormat/>
    <w:uiPriority w:val="34"/>
    <w:pPr>
      <w:ind w:firstLine="420"/>
    </w:pPr>
    <w:rPr>
      <w:rFonts w:ascii="Times New Roman" w:hAnsi="Times New Roman"/>
    </w:rPr>
  </w:style>
  <w:style w:type="character" w:customStyle="1" w:styleId="290">
    <w:name w:val="HTML 预设格式 Char1"/>
    <w:autoRedefine/>
    <w:qFormat/>
    <w:uiPriority w:val="0"/>
    <w:rPr>
      <w:rFonts w:ascii="Courier New" w:hAnsi="Courier New" w:cs="Courier New"/>
      <w:kern w:val="2"/>
    </w:rPr>
  </w:style>
  <w:style w:type="character" w:customStyle="1" w:styleId="291">
    <w:name w:val="正文文本缩进 2 Char1"/>
    <w:autoRedefine/>
    <w:qFormat/>
    <w:uiPriority w:val="0"/>
    <w:rPr>
      <w:kern w:val="2"/>
      <w:sz w:val="21"/>
      <w:szCs w:val="24"/>
    </w:rPr>
  </w:style>
  <w:style w:type="character" w:customStyle="1" w:styleId="292">
    <w:name w:val="正文文本缩进 3 Char"/>
    <w:autoRedefine/>
    <w:qFormat/>
    <w:locked/>
    <w:uiPriority w:val="0"/>
    <w:rPr>
      <w:sz w:val="16"/>
      <w:szCs w:val="16"/>
    </w:rPr>
  </w:style>
  <w:style w:type="paragraph" w:customStyle="1" w:styleId="293">
    <w:name w:val="Char Char Char Char2"/>
    <w:basedOn w:val="1"/>
    <w:autoRedefine/>
    <w:qFormat/>
    <w:uiPriority w:val="0"/>
    <w:pPr>
      <w:spacing w:line="240" w:lineRule="auto"/>
      <w:ind w:firstLine="0" w:firstLineChars="0"/>
    </w:pPr>
    <w:rPr>
      <w:rFonts w:ascii="Times New Roman" w:hAnsi="Times New Roman"/>
      <w:sz w:val="21"/>
    </w:rPr>
  </w:style>
  <w:style w:type="paragraph" w:customStyle="1" w:styleId="294">
    <w:name w:val="Char Char Char Char Char Char Char Char Char1 Char Char Char Char2"/>
    <w:basedOn w:val="1"/>
    <w:autoRedefine/>
    <w:qFormat/>
    <w:uiPriority w:val="0"/>
    <w:pPr>
      <w:spacing w:line="240" w:lineRule="auto"/>
      <w:ind w:firstLine="0" w:firstLineChars="0"/>
    </w:pPr>
    <w:rPr>
      <w:rFonts w:ascii="Times New Roman" w:hAnsi="Times New Roman"/>
    </w:rPr>
  </w:style>
  <w:style w:type="table" w:customStyle="1" w:styleId="295">
    <w:name w:val="Table Normal"/>
    <w:autoRedefine/>
    <w:semiHidden/>
    <w:unhideWhenUsed/>
    <w:qFormat/>
    <w:uiPriority w:val="2"/>
    <w:pPr>
      <w:widowControl w:val="0"/>
      <w:autoSpaceDE w:val="0"/>
      <w:autoSpaceDN w:val="0"/>
    </w:pPr>
    <w:rPr>
      <w:sz w:val="22"/>
      <w:szCs w:val="22"/>
      <w:lang w:eastAsia="en-US"/>
    </w:rPr>
    <w:tblPr>
      <w:tblCellMar>
        <w:top w:w="0" w:type="dxa"/>
        <w:left w:w="0" w:type="dxa"/>
        <w:bottom w:w="0" w:type="dxa"/>
        <w:right w:w="0" w:type="dxa"/>
      </w:tblCellMar>
    </w:tblPr>
  </w:style>
  <w:style w:type="table" w:customStyle="1" w:styleId="296">
    <w:name w:val="Table Normal1"/>
    <w:autoRedefine/>
    <w:semiHidden/>
    <w:unhideWhenUsed/>
    <w:qFormat/>
    <w:uiPriority w:val="2"/>
    <w:pPr>
      <w:widowControl w:val="0"/>
      <w:autoSpaceDE w:val="0"/>
      <w:autoSpaceDN w:val="0"/>
    </w:pPr>
    <w:rPr>
      <w:sz w:val="22"/>
      <w:szCs w:val="22"/>
      <w:lang w:eastAsia="en-US"/>
    </w:rPr>
    <w:tblPr>
      <w:tblCellMar>
        <w:top w:w="0" w:type="dxa"/>
        <w:left w:w="0" w:type="dxa"/>
        <w:bottom w:w="0" w:type="dxa"/>
        <w:right w:w="0" w:type="dxa"/>
      </w:tblCellMar>
    </w:tblPr>
  </w:style>
  <w:style w:type="character" w:customStyle="1" w:styleId="297">
    <w:name w:val="副标题 字符"/>
    <w:basedOn w:val="48"/>
    <w:link w:val="36"/>
    <w:autoRedefine/>
    <w:qFormat/>
    <w:uiPriority w:val="0"/>
    <w:rPr>
      <w:rFonts w:ascii="Cambria" w:hAnsi="Cambria" w:eastAsia="黑体"/>
      <w:b/>
      <w:bCs/>
      <w:kern w:val="28"/>
      <w:sz w:val="24"/>
      <w:szCs w:val="32"/>
    </w:rPr>
  </w:style>
  <w:style w:type="character" w:customStyle="1" w:styleId="298">
    <w:name w:val="font141"/>
    <w:autoRedefine/>
    <w:qFormat/>
    <w:uiPriority w:val="0"/>
    <w:rPr>
      <w:rFonts w:hint="default" w:ascii="方正书宋_GBK" w:hAnsi="方正书宋_GBK" w:eastAsia="方正书宋_GBK" w:cs="方正书宋_GBK"/>
      <w:color w:val="000000"/>
      <w:sz w:val="20"/>
      <w:szCs w:val="20"/>
      <w:u w:val="none"/>
    </w:rPr>
  </w:style>
  <w:style w:type="paragraph" w:customStyle="1" w:styleId="299">
    <w:name w:val="闻政页码"/>
    <w:autoRedefine/>
    <w:qFormat/>
    <w:uiPriority w:val="6"/>
    <w:pPr>
      <w:jc w:val="center"/>
    </w:pPr>
    <w:rPr>
      <w:rFonts w:ascii="Times New Roman" w:hAnsi="Times New Roman" w:eastAsia="Times New Roman" w:cs="Times New Roman"/>
      <w:sz w:val="21"/>
      <w:szCs w:val="28"/>
      <w:lang w:val="en-US" w:eastAsia="zh-CN" w:bidi="ar-SA"/>
    </w:rPr>
  </w:style>
  <w:style w:type="paragraph" w:customStyle="1" w:styleId="300">
    <w:name w:val="闻政封面项目信息"/>
    <w:basedOn w:val="1"/>
    <w:next w:val="301"/>
    <w:autoRedefine/>
    <w:qFormat/>
    <w:uiPriority w:val="0"/>
    <w:pPr>
      <w:autoSpaceDE w:val="0"/>
      <w:autoSpaceDN w:val="0"/>
      <w:spacing w:before="120"/>
      <w:ind w:left="800" w:leftChars="800" w:firstLine="0" w:firstLineChars="0"/>
      <w:jc w:val="left"/>
    </w:pPr>
    <w:rPr>
      <w:rFonts w:ascii="Times New Roman" w:hAnsi="Times New Roman" w:eastAsia="黑体"/>
      <w:kern w:val="0"/>
      <w:sz w:val="28"/>
      <w:szCs w:val="28"/>
      <w:lang w:val="zh-CN" w:bidi="zh-CN"/>
    </w:rPr>
  </w:style>
  <w:style w:type="paragraph" w:customStyle="1" w:styleId="301">
    <w:name w:val="闻政封面完成时间"/>
    <w:basedOn w:val="300"/>
    <w:autoRedefine/>
    <w:qFormat/>
    <w:uiPriority w:val="0"/>
    <w:pPr>
      <w:ind w:left="0" w:leftChars="0"/>
      <w:jc w:val="center"/>
    </w:pPr>
    <w:rPr>
      <w:b/>
    </w:rPr>
  </w:style>
  <w:style w:type="paragraph" w:customStyle="1" w:styleId="302">
    <w:name w:val="Default"/>
    <w:autoRedefine/>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303">
    <w:name w:val="font121"/>
    <w:basedOn w:val="48"/>
    <w:autoRedefine/>
    <w:qFormat/>
    <w:uiPriority w:val="0"/>
    <w:rPr>
      <w:rFonts w:hint="default" w:ascii="Arial" w:hAnsi="Arial" w:cs="Arial"/>
      <w:color w:val="000000"/>
      <w:sz w:val="18"/>
      <w:szCs w:val="18"/>
      <w:u w:val="none"/>
      <w:vertAlign w:val="superscript"/>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28</Pages>
  <Words>6874</Words>
  <Characters>8508</Characters>
  <Lines>227</Lines>
  <Paragraphs>64</Paragraphs>
  <TotalTime>21</TotalTime>
  <ScaleCrop>false</ScaleCrop>
  <LinksUpToDate>false</LinksUpToDate>
  <CharactersWithSpaces>8561</CharactersWithSpaces>
  <Application>WPS Office_12.1.0.16250_F1E327BC-269C-435d-A152-05C5408002CA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2021-12-20T11:16:00Z</dcterms:created>
  <dc:creator>all</dc:creator>
  <cp:lastModifiedBy>WPS_1647486090</cp:lastModifiedBy>
  <cp:lastPrinted>2025-01-05T22:07:00Z</cp:lastPrinted>
  <dcterms:modified xsi:type="dcterms:W3CDTF">2025-12-16T07:57:12Z</dcterms:modified>
  <cp:revision>42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2052-12.1.0.16250</vt:lpwstr>
  </property>
  <property fmtid="{D5CDD505-2E9C-101B-9397-08002B2CF9AE}" pid="3" name="ICV">
    <vt:lpwstr>28798100C1D64774AD78C3C833015293_13</vt:lpwstr>
  </property>
  <property fmtid="{D5CDD505-2E9C-101B-9397-08002B2CF9AE}" pid="4" name="KSOTemplateDocerSaveRecord">
    <vt:lpwstr>eyJoZGlkIjoiOTc3M2Y5NzIzMDFlZjAyY2Q4Njk5ODkyYjFjNzBiNTQiLCJ1c2VySWQiOiI0MjUwMzc4NzkifQ==</vt:lpwstr>
  </property>
</Properties>
</file>